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82" w:rsidRPr="0082479D" w:rsidRDefault="00287A82" w:rsidP="00287A82">
      <w:pPr>
        <w:rPr>
          <w:rFonts w:eastAsia="Times New Roman"/>
          <w:szCs w:val="24"/>
          <w:lang w:eastAsia="ru-RU"/>
        </w:rPr>
      </w:pPr>
      <w:r w:rsidRPr="0082479D">
        <w:rPr>
          <w:rFonts w:eastAsia="Times New Roman" w:cs="Times New Roman"/>
          <w:szCs w:val="24"/>
          <w:lang w:eastAsia="ru-RU"/>
        </w:rPr>
        <w:t xml:space="preserve">В соответствии с пунктом 2 плана работы контрольно-счетной палаты Сахалинской области на 2021 год </w:t>
      </w:r>
      <w:r w:rsidR="00C17202">
        <w:rPr>
          <w:rFonts w:eastAsia="Times New Roman" w:cs="Times New Roman"/>
          <w:szCs w:val="24"/>
          <w:lang w:eastAsia="ru-RU"/>
        </w:rPr>
        <w:t xml:space="preserve">в январе-марте тек. года </w:t>
      </w:r>
      <w:bookmarkStart w:id="0" w:name="_GoBack"/>
      <w:bookmarkEnd w:id="0"/>
      <w:r w:rsidRPr="0082479D">
        <w:rPr>
          <w:rFonts w:eastAsia="Times New Roman" w:cs="Times New Roman"/>
          <w:szCs w:val="24"/>
          <w:lang w:eastAsia="ru-RU"/>
        </w:rPr>
        <w:t xml:space="preserve">проведено контрольное мероприятие </w:t>
      </w:r>
      <w:r w:rsidRPr="0082479D">
        <w:rPr>
          <w:rFonts w:eastAsia="Times New Roman"/>
          <w:szCs w:val="24"/>
          <w:lang w:eastAsia="ru-RU"/>
        </w:rPr>
        <w:t>«</w:t>
      </w:r>
      <w:r w:rsidRPr="0082479D">
        <w:rPr>
          <w:rFonts w:eastAsia="Times New Roman"/>
          <w:color w:val="000000"/>
          <w:szCs w:val="24"/>
          <w:lang w:eastAsia="ru-RU"/>
        </w:rPr>
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</w:r>
      <w:r w:rsidRPr="0082479D">
        <w:rPr>
          <w:rFonts w:eastAsia="Times New Roman"/>
          <w:szCs w:val="24"/>
          <w:lang w:eastAsia="ru-RU"/>
        </w:rPr>
        <w:t>Совершенствование системы государственного управления» (в том числе на финансовое обеспечение выполнения государственного задания ОАУ «Издательский дом «Губернские ведомости» и использования средств на</w:t>
      </w:r>
      <w:r w:rsidRPr="0082479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82479D">
        <w:rPr>
          <w:rFonts w:eastAsia="Times New Roman"/>
          <w:bCs/>
          <w:color w:val="000000"/>
          <w:szCs w:val="24"/>
          <w:lang w:eastAsia="ru-RU"/>
        </w:rPr>
        <w:t>подготовку, размещение и опубликование официальных, социально значимых материалов в средствах массовой информации)</w:t>
      </w:r>
      <w:r w:rsidRPr="0082479D">
        <w:rPr>
          <w:rFonts w:eastAsia="Times New Roman"/>
          <w:szCs w:val="24"/>
          <w:lang w:eastAsia="ru-RU"/>
        </w:rPr>
        <w:t xml:space="preserve"> за 2019, 2020 годы и истекший период 2021 года».</w:t>
      </w:r>
    </w:p>
    <w:p w:rsidR="00287A82" w:rsidRPr="0082479D" w:rsidRDefault="00287A82" w:rsidP="004D0435">
      <w:pPr>
        <w:rPr>
          <w:szCs w:val="24"/>
        </w:rPr>
      </w:pPr>
      <w:r w:rsidRPr="0082479D">
        <w:rPr>
          <w:szCs w:val="24"/>
        </w:rPr>
        <w:t xml:space="preserve">Государственная программа Сахалинской области «Совершенствование системы государственного управления» утверждена постановлением Правительства Сахалинской области от 14.05.2018 № 216 (далее </w:t>
      </w:r>
      <w:r w:rsidR="004D0435">
        <w:rPr>
          <w:szCs w:val="24"/>
        </w:rPr>
        <w:t>–</w:t>
      </w:r>
      <w:r w:rsidRPr="0082479D">
        <w:rPr>
          <w:szCs w:val="24"/>
        </w:rPr>
        <w:t xml:space="preserve"> государственная программа)</w:t>
      </w:r>
      <w:r w:rsidR="004D0435">
        <w:rPr>
          <w:szCs w:val="24"/>
        </w:rPr>
        <w:t>,</w:t>
      </w:r>
      <w:r w:rsidRPr="0082479D">
        <w:rPr>
          <w:szCs w:val="24"/>
          <w:lang w:eastAsia="ru-RU"/>
        </w:rPr>
        <w:t xml:space="preserve"> рассчитана на 7 лет</w:t>
      </w:r>
      <w:r w:rsidR="004D0435">
        <w:rPr>
          <w:szCs w:val="24"/>
          <w:lang w:eastAsia="ru-RU"/>
        </w:rPr>
        <w:t xml:space="preserve"> (</w:t>
      </w:r>
      <w:r w:rsidRPr="0082479D">
        <w:rPr>
          <w:szCs w:val="24"/>
          <w:lang w:eastAsia="ru-RU"/>
        </w:rPr>
        <w:t>с 2019 по 2025 год</w:t>
      </w:r>
      <w:r w:rsidR="004D0435">
        <w:rPr>
          <w:szCs w:val="24"/>
          <w:lang w:eastAsia="ru-RU"/>
        </w:rPr>
        <w:t>)</w:t>
      </w:r>
      <w:r w:rsidRPr="0082479D">
        <w:rPr>
          <w:szCs w:val="24"/>
          <w:lang w:eastAsia="ru-RU"/>
        </w:rPr>
        <w:t xml:space="preserve"> и осуществляется в один этап.</w:t>
      </w:r>
    </w:p>
    <w:p w:rsidR="00287A82" w:rsidRPr="0082479D" w:rsidRDefault="00287A82" w:rsidP="00287A82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szCs w:val="24"/>
        </w:rPr>
        <w:t xml:space="preserve">Целью государственной программы является обеспечение эффективного государственного управления. Для достижения цели государственной программы </w:t>
      </w:r>
      <w:r w:rsidRPr="0082479D">
        <w:rPr>
          <w:szCs w:val="24"/>
          <w:lang w:eastAsia="ru-RU"/>
        </w:rPr>
        <w:t>требуется решение ряда задач, в том числе имеющих отношение к вопросам контрольного мероприятия:</w:t>
      </w:r>
    </w:p>
    <w:p w:rsidR="00287A82" w:rsidRPr="0082479D" w:rsidRDefault="00287A82" w:rsidP="00287A82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szCs w:val="24"/>
          <w:lang w:eastAsia="ru-RU"/>
        </w:rPr>
        <w:t>- обеспечение участия населения Сахалинской области в общественно значимых мероприятиях, проводимых на территории Сахалинской области;</w:t>
      </w:r>
    </w:p>
    <w:p w:rsidR="00287A82" w:rsidRPr="0082479D" w:rsidRDefault="00287A82" w:rsidP="00287A82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szCs w:val="24"/>
          <w:lang w:eastAsia="ru-RU"/>
        </w:rPr>
        <w:t>- обеспечение информационной открытости Губернатора, Правительства Сахалинской области, Сахалинской областной Думы;</w:t>
      </w:r>
    </w:p>
    <w:p w:rsidR="00287A82" w:rsidRPr="0082479D" w:rsidRDefault="00287A82" w:rsidP="00287A82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szCs w:val="24"/>
          <w:lang w:eastAsia="ru-RU"/>
        </w:rPr>
        <w:t>- государственная поддержка развития институтов гражданского общества и стимулирования гражданских и общественных инициатив в Сахалинской области;</w:t>
      </w:r>
    </w:p>
    <w:p w:rsidR="00287A82" w:rsidRPr="0082479D" w:rsidRDefault="00287A82" w:rsidP="00287A82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szCs w:val="24"/>
          <w:lang w:eastAsia="ru-RU"/>
        </w:rPr>
        <w:t xml:space="preserve">- повышение эффективности деятельности органов исполнительной власти и органов местного самоуправления Сахалинской области. </w:t>
      </w:r>
    </w:p>
    <w:p w:rsidR="002B11AC" w:rsidRPr="0082479D" w:rsidRDefault="00287A82" w:rsidP="002B11AC">
      <w:pPr>
        <w:rPr>
          <w:rFonts w:cs="Times New Roman"/>
          <w:i/>
          <w:szCs w:val="24"/>
        </w:rPr>
      </w:pPr>
      <w:r w:rsidRPr="0082479D">
        <w:rPr>
          <w:rFonts w:eastAsia="Times New Roman"/>
          <w:szCs w:val="24"/>
          <w:lang w:eastAsia="ru-RU"/>
        </w:rPr>
        <w:t xml:space="preserve"> </w:t>
      </w:r>
      <w:r w:rsidR="002B11AC" w:rsidRPr="0082479D">
        <w:rPr>
          <w:rFonts w:eastAsia="Times New Roman" w:cs="Times New Roman"/>
          <w:szCs w:val="24"/>
        </w:rPr>
        <w:t>Анализ цели и задач государственной программы показал их соответствие целям и задачам, определенным в стратегических документах Российской Федерации и Сахалинской области.</w:t>
      </w:r>
    </w:p>
    <w:p w:rsidR="002B11AC" w:rsidRPr="0082479D" w:rsidRDefault="002B11AC" w:rsidP="002B11AC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szCs w:val="24"/>
          <w:lang w:eastAsia="ru-RU"/>
        </w:rPr>
        <w:t>Государственная программа реализуется посредством комплекса мероприятий, каждое из которых разработано и служит для достижения целей и задач, определенных государственной программой, в том числе в 2019 году государственная программа реализовалась посредством 8 основных мероприятий, в 2020 году – 10 основных мероприятий.</w:t>
      </w:r>
    </w:p>
    <w:p w:rsidR="002B11AC" w:rsidRPr="0082479D" w:rsidRDefault="002B11AC" w:rsidP="002B11AC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rFonts w:eastAsia="Times New Roman"/>
          <w:szCs w:val="24"/>
        </w:rPr>
        <w:t xml:space="preserve">В нарушение п. 4.8. </w:t>
      </w:r>
      <w:r w:rsidRPr="0082479D">
        <w:rPr>
          <w:rFonts w:eastAsia="Times New Roman"/>
          <w:szCs w:val="24"/>
          <w:lang w:eastAsia="ru-RU"/>
        </w:rPr>
        <w:t>Порядка</w:t>
      </w:r>
      <w:r w:rsidRPr="0082479D">
        <w:rPr>
          <w:iCs/>
          <w:szCs w:val="24"/>
        </w:rPr>
        <w:t xml:space="preserve"> разработки, реализации и оценки эффективности государственных программ, утвержденного п</w:t>
      </w:r>
      <w:r w:rsidRPr="0082479D">
        <w:rPr>
          <w:szCs w:val="24"/>
        </w:rPr>
        <w:t xml:space="preserve">остановлением Правительства Сахалинской области от 08.04.2011 № 117, </w:t>
      </w:r>
      <w:r w:rsidRPr="0082479D">
        <w:rPr>
          <w:rFonts w:eastAsia="Times New Roman"/>
          <w:szCs w:val="24"/>
        </w:rPr>
        <w:t xml:space="preserve">при </w:t>
      </w:r>
      <w:r w:rsidRPr="0082479D">
        <w:rPr>
          <w:szCs w:val="24"/>
          <w:lang w:eastAsia="ru-RU"/>
        </w:rPr>
        <w:t>внесении изменений в Закон об областном бюджете Сахалинской области на 2020 год и на плановый период 2021 и 2022 годов</w:t>
      </w:r>
      <w:r w:rsidR="006D1DEB" w:rsidRPr="0082479D">
        <w:rPr>
          <w:szCs w:val="24"/>
          <w:lang w:eastAsia="ru-RU"/>
        </w:rPr>
        <w:t xml:space="preserve"> </w:t>
      </w:r>
      <w:r w:rsidRPr="0082479D">
        <w:rPr>
          <w:szCs w:val="24"/>
          <w:lang w:eastAsia="ru-RU"/>
        </w:rPr>
        <w:t xml:space="preserve">изменения в государственную программу в течение 2020 года не вносились. </w:t>
      </w:r>
    </w:p>
    <w:p w:rsidR="002B11AC" w:rsidRPr="0082479D" w:rsidRDefault="002B11AC" w:rsidP="002B11AC">
      <w:pPr>
        <w:rPr>
          <w:szCs w:val="24"/>
          <w:lang w:eastAsia="ru-RU"/>
        </w:rPr>
      </w:pPr>
      <w:r w:rsidRPr="0082479D">
        <w:rPr>
          <w:rFonts w:eastAsia="Times New Roman" w:cs="Times New Roman"/>
          <w:szCs w:val="24"/>
        </w:rPr>
        <w:t xml:space="preserve">Анализ создания нормативной правовой базы показал необходимость доработки  </w:t>
      </w:r>
      <w:r w:rsidRPr="0082479D">
        <w:rPr>
          <w:rFonts w:cs="Times New Roman"/>
          <w:bCs/>
          <w:szCs w:val="24"/>
        </w:rPr>
        <w:t xml:space="preserve"> Приложения № 2 «Сведения о мерах правового регулирования в сфере реализации государственной программы» исходя из действующих в настоящее время нормативных</w:t>
      </w:r>
      <w:r w:rsidRPr="0082479D">
        <w:rPr>
          <w:rFonts w:cs="Times New Roman"/>
          <w:szCs w:val="24"/>
        </w:rPr>
        <w:t xml:space="preserve"> правовых актов Правительства Сахалинской области.   </w:t>
      </w:r>
    </w:p>
    <w:p w:rsidR="002B11AC" w:rsidRPr="0082479D" w:rsidRDefault="002B11AC" w:rsidP="002B11AC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iCs/>
          <w:szCs w:val="24"/>
        </w:rPr>
        <w:t xml:space="preserve">В проверяемом периоде на исполнение мероприятий </w:t>
      </w:r>
      <w:r w:rsidRPr="0082479D">
        <w:rPr>
          <w:szCs w:val="24"/>
        </w:rPr>
        <w:t>государственной программы сводной бюджетной росписью</w:t>
      </w:r>
      <w:r w:rsidRPr="0082479D">
        <w:rPr>
          <w:szCs w:val="24"/>
          <w:lang w:eastAsia="ru-RU"/>
        </w:rPr>
        <w:t xml:space="preserve"> предусмотрены средства областного бюджета в общей сумме 1409276,6 тыс. рублей, в том числе: на 2019 год – </w:t>
      </w:r>
      <w:r w:rsidRPr="0082479D">
        <w:rPr>
          <w:rFonts w:eastAsia="Times New Roman"/>
          <w:bCs/>
          <w:szCs w:val="24"/>
          <w:lang w:eastAsia="ru-RU"/>
        </w:rPr>
        <w:t xml:space="preserve">456511,4 </w:t>
      </w:r>
      <w:r w:rsidRPr="0082479D">
        <w:rPr>
          <w:szCs w:val="24"/>
          <w:lang w:eastAsia="ru-RU"/>
        </w:rPr>
        <w:t>тыс. рублей; на 2020 год – 469292,7 тыс. рублей</w:t>
      </w:r>
      <w:r w:rsidRPr="0082479D">
        <w:rPr>
          <w:rFonts w:eastAsia="Times New Roman"/>
          <w:bCs/>
          <w:szCs w:val="24"/>
          <w:lang w:eastAsia="ru-RU"/>
        </w:rPr>
        <w:t xml:space="preserve">; на </w:t>
      </w:r>
      <w:r w:rsidRPr="0082479D">
        <w:rPr>
          <w:szCs w:val="24"/>
          <w:lang w:eastAsia="ru-RU"/>
        </w:rPr>
        <w:t>2021 год (по состоянию на 01.02.2021) – 483472,5 тыс. рублей.</w:t>
      </w:r>
    </w:p>
    <w:p w:rsidR="002B11AC" w:rsidRPr="0082479D" w:rsidRDefault="002B11AC" w:rsidP="002B11AC">
      <w:pPr>
        <w:rPr>
          <w:rFonts w:eastAsia="Times New Roman"/>
          <w:bCs/>
          <w:color w:val="000000"/>
          <w:szCs w:val="24"/>
          <w:lang w:eastAsia="ru-RU"/>
        </w:rPr>
      </w:pPr>
      <w:r w:rsidRPr="0082479D">
        <w:rPr>
          <w:szCs w:val="24"/>
          <w:lang w:eastAsia="ru-RU"/>
        </w:rPr>
        <w:t xml:space="preserve">Кассовое исполнение составило 921848,4 тыс. рублей, в том числе: 2019 год – 455648,2 тыс. рублей (99,8 %); 2020 год </w:t>
      </w:r>
      <w:r w:rsidRPr="0082479D">
        <w:rPr>
          <w:rFonts w:eastAsia="Times New Roman"/>
          <w:bCs/>
          <w:color w:val="000000"/>
          <w:szCs w:val="24"/>
          <w:lang w:eastAsia="ru-RU"/>
        </w:rPr>
        <w:t>– 464503,5</w:t>
      </w:r>
      <w:r w:rsidRPr="0082479D">
        <w:rPr>
          <w:rFonts w:eastAsia="Times New Roman"/>
          <w:bCs/>
          <w:szCs w:val="24"/>
          <w:lang w:eastAsia="ru-RU"/>
        </w:rPr>
        <w:t xml:space="preserve"> </w:t>
      </w:r>
      <w:r w:rsidRPr="0082479D">
        <w:rPr>
          <w:rFonts w:eastAsia="Times New Roman"/>
          <w:bCs/>
          <w:color w:val="000000"/>
          <w:szCs w:val="24"/>
          <w:lang w:eastAsia="ru-RU"/>
        </w:rPr>
        <w:t>тыс. рублей (99,0 %); 2021 год (на 01.02.2021) – 1696,7 тыс. рублей.</w:t>
      </w:r>
    </w:p>
    <w:p w:rsidR="002B11AC" w:rsidRPr="0082479D" w:rsidRDefault="002B11AC" w:rsidP="002B11AC">
      <w:pPr>
        <w:autoSpaceDE w:val="0"/>
        <w:autoSpaceDN w:val="0"/>
        <w:adjustRightInd w:val="0"/>
        <w:rPr>
          <w:iCs/>
          <w:szCs w:val="24"/>
        </w:rPr>
      </w:pPr>
      <w:r w:rsidRPr="0082479D">
        <w:rPr>
          <w:szCs w:val="24"/>
        </w:rPr>
        <w:t>Проверка проведена на выборочной основе, составлено 3 акта проверок. О</w:t>
      </w:r>
      <w:r w:rsidRPr="0082479D">
        <w:rPr>
          <w:iCs/>
          <w:szCs w:val="24"/>
        </w:rPr>
        <w:t>бщий объем проверенных средств составил 3244112,7 тыс. рублей.</w:t>
      </w:r>
    </w:p>
    <w:p w:rsidR="002B11AC" w:rsidRPr="0082479D" w:rsidRDefault="002B11AC" w:rsidP="004D0435">
      <w:pPr>
        <w:rPr>
          <w:szCs w:val="24"/>
        </w:rPr>
      </w:pPr>
      <w:r w:rsidRPr="0082479D">
        <w:rPr>
          <w:rFonts w:eastAsia="Times New Roman"/>
          <w:bCs/>
          <w:szCs w:val="24"/>
          <w:lang w:eastAsia="ru-RU"/>
        </w:rPr>
        <w:lastRenderedPageBreak/>
        <w:t xml:space="preserve">На </w:t>
      </w:r>
      <w:r w:rsidRPr="0082479D">
        <w:rPr>
          <w:iCs/>
          <w:szCs w:val="24"/>
        </w:rPr>
        <w:t xml:space="preserve">исполнение основного мероприятия </w:t>
      </w:r>
      <w:r w:rsidRPr="0082479D">
        <w:rPr>
          <w:rFonts w:eastAsia="Times New Roman"/>
          <w:bCs/>
          <w:szCs w:val="24"/>
          <w:lang w:eastAsia="ru-RU"/>
        </w:rPr>
        <w:t>2. «Подготовка, размещение и опубликование официальных, социально значимых материалов в средствах массовой информации</w:t>
      </w:r>
      <w:r w:rsidRPr="0082479D">
        <w:rPr>
          <w:iCs/>
          <w:szCs w:val="24"/>
        </w:rPr>
        <w:t>» направлено 432017,5 тыс. рублей (2019 год – 213480,1 тыс. рублей, 2020 год – 218442,4 тыс. рублей, 2021 год (по состоянию на 01.02.) – 95,0 тыс. рублей)</w:t>
      </w:r>
      <w:r w:rsidR="004D0435">
        <w:rPr>
          <w:iCs/>
          <w:szCs w:val="24"/>
        </w:rPr>
        <w:t>.</w:t>
      </w:r>
      <w:r w:rsidRPr="0082479D">
        <w:rPr>
          <w:iCs/>
          <w:szCs w:val="24"/>
        </w:rPr>
        <w:t xml:space="preserve"> </w:t>
      </w:r>
    </w:p>
    <w:p w:rsidR="008A2692" w:rsidRPr="0082479D" w:rsidRDefault="002B11AC" w:rsidP="002B11AC">
      <w:pPr>
        <w:rPr>
          <w:iCs/>
          <w:szCs w:val="24"/>
        </w:rPr>
      </w:pPr>
      <w:r w:rsidRPr="0082479D">
        <w:rPr>
          <w:szCs w:val="24"/>
        </w:rPr>
        <w:t>На реализацию основного мероприятия 4. «Повышение эффективности деятельности органов исполнительной власти и местного самоуправления Сахалинской области, структурных подразделений аппарата Губернатора и Правительства Сахалинской области и подведомственных областным органам исполнительной власти учреждений» направлено 218810,0 тыс. рублей (в 2019 году – 101735,0 тыс. рублей, в 2020 году – 117075,0 тыс. рублей)</w:t>
      </w:r>
      <w:r w:rsidRPr="0082479D">
        <w:rPr>
          <w:iCs/>
          <w:szCs w:val="24"/>
        </w:rPr>
        <w:t xml:space="preserve">. </w:t>
      </w:r>
    </w:p>
    <w:p w:rsidR="006D1DEB" w:rsidRPr="0082479D" w:rsidRDefault="002B11AC" w:rsidP="002B11AC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szCs w:val="24"/>
        </w:rPr>
        <w:t>На реализацию мероприятия</w:t>
      </w:r>
      <w:r w:rsidRPr="0082479D">
        <w:rPr>
          <w:szCs w:val="24"/>
          <w:lang w:eastAsia="ru-RU"/>
        </w:rPr>
        <w:t xml:space="preserve"> 9. «Профессиональное развитие лиц, замещающих государственные должности Сахалинской области, должности государственной гражданской службы в органах государственной власти Сахалинской области» в 2020 году  направлено 2158,0 тыс. рублей (заключено 5 контрактов (договоров) на получение дополнительного профессионального образования</w:t>
      </w:r>
      <w:r w:rsidR="006D1DEB" w:rsidRPr="0082479D">
        <w:rPr>
          <w:szCs w:val="24"/>
          <w:lang w:eastAsia="ru-RU"/>
        </w:rPr>
        <w:t>.</w:t>
      </w:r>
    </w:p>
    <w:p w:rsidR="002B11AC" w:rsidRPr="0082479D" w:rsidRDefault="002B11AC" w:rsidP="002B11AC">
      <w:pPr>
        <w:autoSpaceDE w:val="0"/>
        <w:autoSpaceDN w:val="0"/>
        <w:adjustRightInd w:val="0"/>
        <w:rPr>
          <w:szCs w:val="24"/>
          <w:lang w:eastAsia="ru-RU"/>
        </w:rPr>
      </w:pPr>
      <w:r w:rsidRPr="0082479D">
        <w:rPr>
          <w:rFonts w:eastAsia="Times New Roman"/>
          <w:bCs/>
          <w:szCs w:val="24"/>
        </w:rPr>
        <w:t xml:space="preserve">В рамках </w:t>
      </w:r>
      <w:r w:rsidRPr="0082479D">
        <w:rPr>
          <w:szCs w:val="24"/>
        </w:rPr>
        <w:t>реализации мероприятия</w:t>
      </w:r>
      <w:r w:rsidRPr="0082479D">
        <w:rPr>
          <w:szCs w:val="24"/>
          <w:lang w:eastAsia="ru-RU"/>
        </w:rPr>
        <w:t xml:space="preserve"> 10. «Привлечение специалистов и компетенций для Сахалинской области» в 2020 году предоставлена субсидия автономной некоммерческой организации «Агентство по подбору персонала» в виде добровольного имущественного взноса для целей, определенных в ее уставе, в размере 20531,7 тыс. рублей.  </w:t>
      </w:r>
    </w:p>
    <w:p w:rsidR="002B11AC" w:rsidRPr="0082479D" w:rsidRDefault="002B11AC" w:rsidP="002B11AC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  <w:r w:rsidRPr="0082479D">
        <w:rPr>
          <w:rFonts w:eastAsia="Times New Roman" w:cs="Times New Roman"/>
          <w:szCs w:val="24"/>
        </w:rPr>
        <w:t xml:space="preserve">Фактическое исполнение </w:t>
      </w:r>
      <w:r w:rsidRPr="0082479D">
        <w:rPr>
          <w:rFonts w:eastAsia="Times New Roman"/>
          <w:szCs w:val="24"/>
        </w:rPr>
        <w:t xml:space="preserve">Плана ФХД </w:t>
      </w:r>
      <w:r w:rsidRPr="0082479D">
        <w:rPr>
          <w:szCs w:val="24"/>
        </w:rPr>
        <w:t xml:space="preserve">ОАУ «Издательский дом «Губернские ведомости» </w:t>
      </w:r>
      <w:r w:rsidRPr="0082479D">
        <w:rPr>
          <w:rFonts w:eastAsia="Times New Roman"/>
          <w:szCs w:val="24"/>
        </w:rPr>
        <w:t>составило:</w:t>
      </w:r>
    </w:p>
    <w:p w:rsidR="002B11AC" w:rsidRPr="0082479D" w:rsidRDefault="002B11AC" w:rsidP="002B11AC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szCs w:val="24"/>
        </w:rPr>
      </w:pPr>
      <w:r w:rsidRPr="0082479D">
        <w:rPr>
          <w:rFonts w:eastAsia="Times New Roman" w:cs="Times New Roman"/>
          <w:i/>
          <w:szCs w:val="24"/>
        </w:rPr>
        <w:t>2019 год</w:t>
      </w:r>
    </w:p>
    <w:p w:rsidR="002B11AC" w:rsidRPr="0082479D" w:rsidRDefault="002B11AC" w:rsidP="002B11AC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  <w:r w:rsidRPr="0082479D">
        <w:rPr>
          <w:rFonts w:eastAsia="Times New Roman" w:cs="Times New Roman"/>
          <w:szCs w:val="24"/>
        </w:rPr>
        <w:t>- по доходам – 330815,6 тыс. рублей,</w:t>
      </w:r>
      <w:r w:rsidRPr="0082479D">
        <w:rPr>
          <w:rFonts w:eastAsia="Times New Roman"/>
          <w:szCs w:val="24"/>
        </w:rPr>
        <w:t xml:space="preserve"> в том числе: субсидия на финансовое обеспечение государственного задания – 22507,3 тыс. рублей; субсидия на иные цели –17293,7 тыс. рублей; поступления от оказания услуг (выполнения работ) на платной основе и от иной приносящей доход деятельности – 284177,1 тыс. рублей; иные доходы – 6837,5 тыс. рублей;</w:t>
      </w:r>
    </w:p>
    <w:p w:rsidR="002B11AC" w:rsidRPr="0082479D" w:rsidRDefault="002B11AC" w:rsidP="002B11AC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  <w:r w:rsidRPr="0082479D">
        <w:rPr>
          <w:rFonts w:eastAsia="Times New Roman"/>
          <w:szCs w:val="24"/>
        </w:rPr>
        <w:t>- по расходам – 263149,1 тыс. рублей, в том числе расходы: на выплату персоналу – 118496,8 тыс. рублей (из них расходы на оплату труда 91459,9 тыс. рублей); на закупку товаров, работ, услуг – 144460,2 тыс. рублей; уплату налогов – 192,1 тыс. рублей;</w:t>
      </w:r>
    </w:p>
    <w:p w:rsidR="002B11AC" w:rsidRPr="0082479D" w:rsidRDefault="002B11AC" w:rsidP="002B11AC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82479D">
        <w:rPr>
          <w:rFonts w:eastAsia="Times New Roman"/>
          <w:i/>
          <w:szCs w:val="24"/>
        </w:rPr>
        <w:t>2020 год</w:t>
      </w:r>
    </w:p>
    <w:p w:rsidR="002B11AC" w:rsidRPr="0082479D" w:rsidRDefault="002B11AC" w:rsidP="002B11AC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  <w:r w:rsidRPr="0082479D">
        <w:rPr>
          <w:rFonts w:eastAsia="Times New Roman" w:cs="Times New Roman"/>
          <w:szCs w:val="24"/>
        </w:rPr>
        <w:t>- по доходам – 611612,6 тыс. рублей,</w:t>
      </w:r>
      <w:r w:rsidRPr="0082479D">
        <w:rPr>
          <w:rFonts w:eastAsia="Times New Roman"/>
          <w:szCs w:val="24"/>
        </w:rPr>
        <w:t xml:space="preserve"> в том числе: субсидия на финансовое обеспечение государственного задания – 31758,2 тыс. рублей; субсидия на иные цели –61988,7 тыс. рублей; поступления от оказания услуг (выполнения работ) на платной основе и от иной приносящей доход деятельности – 472765,1 тыс. рублей; иные доходы – 45100,6 тыс. рублей;</w:t>
      </w:r>
    </w:p>
    <w:p w:rsidR="006D1DEB" w:rsidRPr="0082479D" w:rsidRDefault="002B11AC" w:rsidP="002B11AC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  <w:r w:rsidRPr="0082479D">
        <w:rPr>
          <w:rFonts w:eastAsia="Times New Roman"/>
          <w:szCs w:val="24"/>
        </w:rPr>
        <w:t>- по расходам – 545101,1 тыс. рублей, в том числе расходы: на выплату персоналу – 174077,5 тыс. рублей (из них расходы на оплату труда 133136,3 тыс. рублей); на закупку товаров, работ, услуг – 370985,0 тыс. рублей; уплату налогов – 38,6 тыс. рублей.</w:t>
      </w:r>
    </w:p>
    <w:p w:rsidR="002B11AC" w:rsidRPr="0082479D" w:rsidRDefault="006D1DEB" w:rsidP="002B11AC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  <w:r w:rsidRPr="0082479D">
        <w:rPr>
          <w:rFonts w:eastAsia="Times New Roman"/>
          <w:szCs w:val="24"/>
        </w:rPr>
        <w:t>Установлены отдельные нарушения, в том числе:</w:t>
      </w:r>
      <w:r w:rsidR="002B11AC" w:rsidRPr="0082479D">
        <w:rPr>
          <w:rFonts w:eastAsia="Times New Roman"/>
          <w:szCs w:val="24"/>
        </w:rPr>
        <w:t xml:space="preserve"> </w:t>
      </w:r>
    </w:p>
    <w:p w:rsidR="006D1DEB" w:rsidRPr="0082479D" w:rsidRDefault="006D1DEB" w:rsidP="006D1DEB">
      <w:pPr>
        <w:widowControl w:val="0"/>
        <w:autoSpaceDE w:val="0"/>
        <w:autoSpaceDN w:val="0"/>
        <w:adjustRightInd w:val="0"/>
        <w:rPr>
          <w:szCs w:val="24"/>
        </w:rPr>
      </w:pPr>
      <w:r w:rsidRPr="0082479D">
        <w:rPr>
          <w:rFonts w:eastAsia="Times New Roman"/>
          <w:szCs w:val="24"/>
        </w:rPr>
        <w:t xml:space="preserve">- отклонение на </w:t>
      </w:r>
      <w:r w:rsidRPr="0082479D">
        <w:rPr>
          <w:szCs w:val="24"/>
        </w:rPr>
        <w:t>1834,6 тыс. рублей плановых назначений по доходам</w:t>
      </w:r>
      <w:r w:rsidRPr="0082479D">
        <w:rPr>
          <w:rFonts w:eastAsia="Times New Roman"/>
          <w:szCs w:val="24"/>
        </w:rPr>
        <w:t xml:space="preserve"> от </w:t>
      </w:r>
      <w:r w:rsidRPr="0082479D">
        <w:rPr>
          <w:szCs w:val="24"/>
        </w:rPr>
        <w:t>приносящей доход деятельности,</w:t>
      </w:r>
      <w:r w:rsidRPr="0082479D">
        <w:rPr>
          <w:rFonts w:eastAsia="Times New Roman"/>
          <w:szCs w:val="24"/>
        </w:rPr>
        <w:t xml:space="preserve"> указанных в Отчете </w:t>
      </w:r>
      <w:r w:rsidRPr="0082479D">
        <w:rPr>
          <w:szCs w:val="24"/>
        </w:rPr>
        <w:t xml:space="preserve">о выполнении плана финансово-хозяйственной деятельности за 2019 год, и </w:t>
      </w:r>
      <w:r w:rsidRPr="0082479D">
        <w:rPr>
          <w:rFonts w:eastAsia="Times New Roman"/>
          <w:szCs w:val="24"/>
        </w:rPr>
        <w:t xml:space="preserve">показателей Плана ФХД; </w:t>
      </w:r>
    </w:p>
    <w:p w:rsidR="006D1DEB" w:rsidRPr="0082479D" w:rsidRDefault="006D1DEB" w:rsidP="006D1DEB">
      <w:pPr>
        <w:autoSpaceDE w:val="0"/>
        <w:autoSpaceDN w:val="0"/>
        <w:adjustRightInd w:val="0"/>
        <w:rPr>
          <w:rFonts w:eastAsia="Times New Roman"/>
          <w:szCs w:val="24"/>
        </w:rPr>
      </w:pPr>
      <w:r w:rsidRPr="0082479D">
        <w:rPr>
          <w:rFonts w:eastAsia="Times New Roman"/>
          <w:szCs w:val="24"/>
        </w:rPr>
        <w:t xml:space="preserve">- не соблюдена периодичность внесения изменений в План ФХД </w:t>
      </w:r>
      <w:r w:rsidRPr="0082479D">
        <w:rPr>
          <w:szCs w:val="24"/>
        </w:rPr>
        <w:t>(не чаще чем один раз в квартал)</w:t>
      </w:r>
      <w:r w:rsidRPr="0082479D">
        <w:rPr>
          <w:rFonts w:eastAsia="Times New Roman"/>
          <w:szCs w:val="24"/>
        </w:rPr>
        <w:t>, – во 2 и 4 кварталах 2020 года изменения в План ФХД вносились по 2 раза;</w:t>
      </w:r>
    </w:p>
    <w:p w:rsidR="006D1DEB" w:rsidRPr="0082479D" w:rsidRDefault="006D1DEB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82479D">
        <w:rPr>
          <w:rFonts w:eastAsia="Times New Roman"/>
          <w:szCs w:val="24"/>
        </w:rPr>
        <w:t xml:space="preserve">- нарушались сроки размещения Плана ФХД на </w:t>
      </w:r>
      <w:r w:rsidRPr="0082479D">
        <w:rPr>
          <w:rFonts w:eastAsia="Times New Roman" w:cs="Times New Roman"/>
          <w:szCs w:val="24"/>
        </w:rPr>
        <w:t>официальном сайте (на 2019 год – на 55 рабочих дней</w:t>
      </w:r>
      <w:r w:rsidR="0082479D" w:rsidRPr="0082479D">
        <w:rPr>
          <w:rFonts w:eastAsia="Times New Roman" w:cs="Times New Roman"/>
          <w:szCs w:val="24"/>
        </w:rPr>
        <w:t>,</w:t>
      </w:r>
      <w:r w:rsidRPr="0082479D">
        <w:rPr>
          <w:rFonts w:eastAsia="Times New Roman" w:cs="Times New Roman"/>
          <w:szCs w:val="24"/>
        </w:rPr>
        <w:t xml:space="preserve"> на 2020 год</w:t>
      </w:r>
      <w:r w:rsidR="0082479D" w:rsidRPr="0082479D">
        <w:rPr>
          <w:rFonts w:eastAsia="Times New Roman" w:cs="Times New Roman"/>
          <w:szCs w:val="24"/>
        </w:rPr>
        <w:t xml:space="preserve"> – </w:t>
      </w:r>
      <w:r w:rsidRPr="0082479D">
        <w:rPr>
          <w:rFonts w:eastAsia="Times New Roman" w:cs="Times New Roman"/>
          <w:szCs w:val="24"/>
        </w:rPr>
        <w:t>уточненный План ФХД</w:t>
      </w:r>
      <w:r w:rsidR="0082479D" w:rsidRPr="0082479D">
        <w:rPr>
          <w:rFonts w:eastAsia="Times New Roman" w:cs="Times New Roman"/>
          <w:szCs w:val="24"/>
        </w:rPr>
        <w:t xml:space="preserve"> размещался</w:t>
      </w:r>
      <w:r w:rsidRPr="0082479D">
        <w:rPr>
          <w:rFonts w:eastAsia="Times New Roman" w:cs="Times New Roman"/>
          <w:szCs w:val="24"/>
        </w:rPr>
        <w:t xml:space="preserve"> на 13, 31 и 7 рабочих дней </w:t>
      </w:r>
      <w:r w:rsidR="0082479D" w:rsidRPr="0082479D">
        <w:rPr>
          <w:rFonts w:eastAsia="Times New Roman" w:cs="Times New Roman"/>
          <w:szCs w:val="24"/>
        </w:rPr>
        <w:t>позже установленного срока</w:t>
      </w:r>
      <w:r w:rsidRPr="0082479D">
        <w:rPr>
          <w:rFonts w:eastAsia="Times New Roman" w:cs="Times New Roman"/>
          <w:szCs w:val="24"/>
        </w:rPr>
        <w:t>).</w:t>
      </w:r>
    </w:p>
    <w:p w:rsidR="0082479D" w:rsidRPr="0082479D" w:rsidRDefault="0082479D" w:rsidP="0082479D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2479D">
        <w:rPr>
          <w:rFonts w:eastAsia="Times New Roman" w:cs="Times New Roman"/>
          <w:szCs w:val="24"/>
        </w:rPr>
        <w:t>По</w:t>
      </w:r>
      <w:r w:rsidRPr="0082479D">
        <w:rPr>
          <w:rFonts w:eastAsia="Times New Roman" w:cs="Times New Roman"/>
          <w:szCs w:val="24"/>
          <w:lang w:eastAsia="ru-RU"/>
        </w:rPr>
        <w:t xml:space="preserve"> результатам контрольного мероприятия</w:t>
      </w:r>
      <w:r w:rsidRPr="0082479D">
        <w:rPr>
          <w:rFonts w:eastAsia="Calibri" w:cs="Times New Roman"/>
          <w:szCs w:val="24"/>
        </w:rPr>
        <w:t xml:space="preserve"> коллегией контрольно-счетной палаты Сахалинской области принято решение направить информационные письма </w:t>
      </w:r>
      <w:r w:rsidRPr="0082479D">
        <w:rPr>
          <w:szCs w:val="24"/>
        </w:rPr>
        <w:t xml:space="preserve">управлению делами Губернатора и Правительства Сахалинской области, министерству </w:t>
      </w:r>
      <w:r w:rsidRPr="0082479D">
        <w:rPr>
          <w:szCs w:val="24"/>
        </w:rPr>
        <w:lastRenderedPageBreak/>
        <w:t xml:space="preserve">государственного управления Сахалинской области и </w:t>
      </w:r>
      <w:r w:rsidRPr="0082479D">
        <w:rPr>
          <w:rFonts w:cs="Times New Roman"/>
          <w:bCs/>
          <w:szCs w:val="24"/>
        </w:rPr>
        <w:t>ОАУ</w:t>
      </w:r>
      <w:r w:rsidRPr="0082479D">
        <w:rPr>
          <w:szCs w:val="24"/>
        </w:rPr>
        <w:t xml:space="preserve"> «Издательский дом «Губернские ведомости».</w:t>
      </w:r>
    </w:p>
    <w:p w:rsidR="0082479D" w:rsidRPr="0082479D" w:rsidRDefault="0082479D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6D1DEB" w:rsidRPr="0082479D" w:rsidRDefault="006D1DEB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2B11AC" w:rsidRPr="0082479D" w:rsidRDefault="006D1DEB" w:rsidP="002B11AC">
      <w:pPr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82479D">
        <w:rPr>
          <w:rFonts w:eastAsia="Times New Roman" w:cs="Times New Roman"/>
          <w:szCs w:val="24"/>
        </w:rPr>
        <w:t xml:space="preserve"> </w:t>
      </w:r>
    </w:p>
    <w:p w:rsidR="002B11AC" w:rsidRPr="0082479D" w:rsidRDefault="002B11AC" w:rsidP="002B11AC">
      <w:pPr>
        <w:rPr>
          <w:szCs w:val="24"/>
        </w:rPr>
      </w:pPr>
    </w:p>
    <w:sectPr w:rsidR="002B11AC" w:rsidRPr="0082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6"/>
    <w:rsid w:val="002007A6"/>
    <w:rsid w:val="00287A82"/>
    <w:rsid w:val="002B11AC"/>
    <w:rsid w:val="004D0435"/>
    <w:rsid w:val="006D1DEB"/>
    <w:rsid w:val="0082479D"/>
    <w:rsid w:val="008A2692"/>
    <w:rsid w:val="00C17202"/>
    <w:rsid w:val="00CB2173"/>
    <w:rsid w:val="00D57998"/>
    <w:rsid w:val="00E8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4A117-4CFE-48BC-82F9-87D36F8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6</cp:revision>
  <dcterms:created xsi:type="dcterms:W3CDTF">2021-03-15T05:02:00Z</dcterms:created>
  <dcterms:modified xsi:type="dcterms:W3CDTF">2021-03-16T22:23:00Z</dcterms:modified>
</cp:coreProperties>
</file>