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B" w:rsidRPr="009F650B" w:rsidRDefault="009F650B" w:rsidP="009F650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15</w:t>
      </w:r>
      <w:r w:rsidRPr="00A65E80">
        <w:rPr>
          <w:sz w:val="28"/>
          <w:szCs w:val="28"/>
        </w:rPr>
        <w:t xml:space="preserve"> Плана работы контрольно-счетной палаты Сахалинской области на 2017 год проведено контрольное мероприятие </w:t>
      </w:r>
      <w:r w:rsidRPr="009F650B">
        <w:rPr>
          <w:sz w:val="28"/>
          <w:szCs w:val="28"/>
          <w:lang w:val="x-none"/>
        </w:rPr>
        <w:t>«</w:t>
      </w:r>
      <w:r w:rsidRPr="009F650B">
        <w:rPr>
          <w:rFonts w:eastAsia="Times New Roman"/>
          <w:sz w:val="28"/>
          <w:szCs w:val="28"/>
        </w:rPr>
        <w:t xml:space="preserve"> </w:t>
      </w:r>
      <w:r w:rsidRPr="009F650B">
        <w:rPr>
          <w:rFonts w:eastAsia="Times New Roman"/>
          <w:sz w:val="28"/>
          <w:szCs w:val="28"/>
        </w:rPr>
        <w:t xml:space="preserve">Проверка использования средств областного бюджета, направленных на  реализацию мероприятий </w:t>
      </w:r>
      <w:r w:rsidRPr="009F650B">
        <w:rPr>
          <w:rFonts w:eastAsia="Times New Roman"/>
          <w:bCs/>
          <w:color w:val="000000"/>
          <w:sz w:val="28"/>
          <w:szCs w:val="28"/>
        </w:rPr>
        <w:t xml:space="preserve">подпрограммы «Развитие медицинской реабилитации и санаторно-курортного лечения, в том числе детям» </w:t>
      </w:r>
      <w:r w:rsidRPr="009F650B">
        <w:rPr>
          <w:rFonts w:eastAsia="Times New Roman"/>
          <w:sz w:val="28"/>
          <w:szCs w:val="28"/>
        </w:rPr>
        <w:t>государственной программы Сахалинской области «Развитие здравоохранения в Сахалинской области на 2014-2020 годы» за 2015, 2016 годы и истекший период 2017 года</w:t>
      </w:r>
      <w:r>
        <w:rPr>
          <w:rFonts w:eastAsia="Times New Roman"/>
          <w:sz w:val="28"/>
          <w:szCs w:val="28"/>
        </w:rPr>
        <w:t>»</w:t>
      </w:r>
      <w:r w:rsidRPr="009F650B">
        <w:rPr>
          <w:rFonts w:eastAsia="Times New Roman"/>
          <w:sz w:val="28"/>
          <w:szCs w:val="28"/>
        </w:rPr>
        <w:t>.</w:t>
      </w:r>
      <w:proofErr w:type="gramEnd"/>
    </w:p>
    <w:p w:rsidR="00F867DA" w:rsidRPr="000D1D48" w:rsidRDefault="009F650B" w:rsidP="009F650B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A65E80">
        <w:rPr>
          <w:sz w:val="28"/>
          <w:szCs w:val="28"/>
        </w:rPr>
        <w:t>.</w:t>
      </w:r>
    </w:p>
    <w:p w:rsidR="00F867DA" w:rsidRPr="000D1D48" w:rsidRDefault="00F867DA" w:rsidP="00051AC7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D1D48">
        <w:rPr>
          <w:sz w:val="28"/>
          <w:szCs w:val="28"/>
        </w:rPr>
        <w:t xml:space="preserve">Нормативное регулирование закрепляет раздельно </w:t>
      </w:r>
      <w:r w:rsidR="00333816" w:rsidRPr="000D1D48">
        <w:rPr>
          <w:sz w:val="28"/>
          <w:szCs w:val="28"/>
        </w:rPr>
        <w:t xml:space="preserve">понятия </w:t>
      </w:r>
      <w:r w:rsidRPr="000D1D48">
        <w:rPr>
          <w:sz w:val="28"/>
          <w:szCs w:val="28"/>
        </w:rPr>
        <w:t xml:space="preserve">«медицинская реабилитация» и «санаторно-курортное лечение». При этом </w:t>
      </w:r>
      <w:r w:rsidR="00333816" w:rsidRPr="000D1D48">
        <w:rPr>
          <w:sz w:val="28"/>
          <w:szCs w:val="28"/>
        </w:rPr>
        <w:t>«м</w:t>
      </w:r>
      <w:r w:rsidRPr="000D1D48">
        <w:rPr>
          <w:sz w:val="28"/>
          <w:szCs w:val="28"/>
        </w:rPr>
        <w:t>едицинская реабилитация» гарантируется гражданам области бесплатно за счет средств ОМС в рамках Территориальной программы госгарантий, а «санаторно-курортное лечение» - отдельным категориям граждан, предусмотренных федеральными законами, за счет средств федерального бюджета. За счет средств областного бюджета предусмотрена возможность оказания санаторно-курортного лечения определенным категориям граждан в соответствии с законодательством субъекта РФ.</w:t>
      </w:r>
    </w:p>
    <w:p w:rsidR="00F867DA" w:rsidRPr="000D1D48" w:rsidRDefault="00F867DA" w:rsidP="00051AC7">
      <w:pPr>
        <w:pStyle w:val="2"/>
        <w:rPr>
          <w:rFonts w:ascii="Times New Roman" w:hAnsi="Times New Roman"/>
          <w:sz w:val="28"/>
          <w:szCs w:val="28"/>
        </w:rPr>
      </w:pPr>
      <w:r w:rsidRPr="000D1D48">
        <w:rPr>
          <w:rFonts w:ascii="Times New Roman" w:hAnsi="Times New Roman"/>
          <w:sz w:val="28"/>
          <w:szCs w:val="28"/>
        </w:rPr>
        <w:t xml:space="preserve">Фактически в рамках Подпрограммы №4 за счет средств областного бюджета в проверяемом периоде осуществлялось предоставление субсидий на обеспечение госзадания учреждениям: </w:t>
      </w:r>
      <w:proofErr w:type="gramStart"/>
      <w:r w:rsidRPr="000D1D48">
        <w:rPr>
          <w:rFonts w:ascii="Times New Roman" w:hAnsi="Times New Roman"/>
          <w:sz w:val="28"/>
          <w:szCs w:val="28"/>
        </w:rPr>
        <w:t>Детскому многопрофильному санаторию, Детскому санаторию «Тополек», Санаторию-профилакторию «Лесное озеро», до 2017 года - Реабилитационному центру «Аралия».</w:t>
      </w:r>
      <w:proofErr w:type="gramEnd"/>
    </w:p>
    <w:p w:rsidR="00F867DA" w:rsidRPr="000D1D48" w:rsidRDefault="00F867DA" w:rsidP="00051AC7">
      <w:pPr>
        <w:pStyle w:val="a4"/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D1D48">
        <w:rPr>
          <w:sz w:val="28"/>
          <w:szCs w:val="28"/>
        </w:rPr>
        <w:t>Кроме того в 2015-2016 годах финансировались мероприятия министерства здравоохранения по долечиванию (реабилитации) работающих граждан, непосредственного после стационарной помощи в санаторно-курортных организациях и медицинских организациях Сахалинской области, которые, как показала проверка, были организованы с нарушением ст. 85 БК РФ.</w:t>
      </w:r>
    </w:p>
    <w:p w:rsidR="00F867DA" w:rsidRPr="000D1D48" w:rsidRDefault="00F867DA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>Санаторно-курортное лечение отдельных категорий граждан, определенных региональным законодательством, путем предоставления соответствующих путевок, осуществляется органами социальной защиты в рамках госпрограммы, принятой в области социальной поддержки граждан.</w:t>
      </w:r>
    </w:p>
    <w:p w:rsidR="00367F73" w:rsidRPr="000D1D48" w:rsidRDefault="00F867DA" w:rsidP="000350E0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ab/>
        <w:t>Анализ реализации нормативных правовых актов с учетом полномочий субъекта РФ в области медицинской реабилитации и санаторно-курортного лечения показал необходимость существенной проработки Подпрограммы, в том числе на предмет соответствия положениям действующих Методических указаний. Министерству здравоохранения с учетом имеющихся замечаний необходимо выработать концепцию Подпрограммы, проанализировать ее необходимость и самостоятельность</w:t>
      </w:r>
      <w:r w:rsidR="00920710" w:rsidRPr="000D1D48">
        <w:rPr>
          <w:sz w:val="28"/>
          <w:szCs w:val="28"/>
        </w:rPr>
        <w:t xml:space="preserve"> в госпрограмме</w:t>
      </w:r>
      <w:r w:rsidRPr="000D1D48">
        <w:rPr>
          <w:sz w:val="28"/>
          <w:szCs w:val="28"/>
        </w:rPr>
        <w:t xml:space="preserve">. </w:t>
      </w:r>
    </w:p>
    <w:p w:rsidR="00C1417B" w:rsidRPr="000D1D48" w:rsidRDefault="00C1417B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ab/>
      </w:r>
      <w:proofErr w:type="gramStart"/>
      <w:r w:rsidRPr="000D1D48">
        <w:rPr>
          <w:sz w:val="28"/>
          <w:szCs w:val="28"/>
        </w:rPr>
        <w:t>В силу норм стратегического характера, а также плана мероприятий Минздрава России на период 2016-2021 годы, предусматривающих поддержку и развитие инфраструктуры учреждений, оказывающих санаторно-курор</w:t>
      </w:r>
      <w:r w:rsidR="00920710" w:rsidRPr="000D1D48">
        <w:rPr>
          <w:sz w:val="28"/>
          <w:szCs w:val="28"/>
        </w:rPr>
        <w:t>тное лечение</w:t>
      </w:r>
      <w:r w:rsidRPr="000D1D48">
        <w:rPr>
          <w:sz w:val="28"/>
          <w:szCs w:val="28"/>
        </w:rPr>
        <w:t xml:space="preserve"> граждан, доступность и повышение качества санаторно-курортного лечения, министерству здравоохранения необходимо обратить внимание на эффективность формирования ресурсного обеспечения подпрограммы и обеспечение подведом</w:t>
      </w:r>
      <w:r w:rsidR="00F46200">
        <w:rPr>
          <w:sz w:val="28"/>
          <w:szCs w:val="28"/>
        </w:rPr>
        <w:t>ственных детских санаториев</w:t>
      </w:r>
      <w:r w:rsidRPr="000D1D48">
        <w:rPr>
          <w:sz w:val="28"/>
          <w:szCs w:val="28"/>
        </w:rPr>
        <w:t xml:space="preserve"> </w:t>
      </w:r>
      <w:r w:rsidR="00F46200">
        <w:rPr>
          <w:sz w:val="28"/>
          <w:szCs w:val="28"/>
        </w:rPr>
        <w:t>(</w:t>
      </w:r>
      <w:r w:rsidRPr="000D1D48">
        <w:rPr>
          <w:sz w:val="28"/>
          <w:szCs w:val="28"/>
        </w:rPr>
        <w:t>санаторий «Тополек» и Детский многопрофильный санаторий</w:t>
      </w:r>
      <w:r w:rsidR="00F46200">
        <w:rPr>
          <w:sz w:val="28"/>
          <w:szCs w:val="28"/>
        </w:rPr>
        <w:t>)</w:t>
      </w:r>
      <w:r w:rsidRPr="000D1D48">
        <w:rPr>
          <w:sz w:val="28"/>
          <w:szCs w:val="28"/>
        </w:rPr>
        <w:t>.</w:t>
      </w:r>
      <w:proofErr w:type="gramEnd"/>
      <w:r w:rsidRPr="000D1D48">
        <w:rPr>
          <w:sz w:val="28"/>
          <w:szCs w:val="28"/>
        </w:rPr>
        <w:t xml:space="preserve"> </w:t>
      </w:r>
      <w:proofErr w:type="gramStart"/>
      <w:r w:rsidRPr="000D1D48">
        <w:rPr>
          <w:sz w:val="28"/>
          <w:szCs w:val="28"/>
        </w:rPr>
        <w:t>За 2015-2017 годы</w:t>
      </w:r>
      <w:r w:rsidR="00920710" w:rsidRPr="000D1D48">
        <w:rPr>
          <w:sz w:val="28"/>
          <w:szCs w:val="28"/>
        </w:rPr>
        <w:t xml:space="preserve"> в</w:t>
      </w:r>
      <w:r w:rsidRPr="000D1D48">
        <w:rPr>
          <w:sz w:val="28"/>
          <w:szCs w:val="28"/>
        </w:rPr>
        <w:t xml:space="preserve"> учреждения</w:t>
      </w:r>
      <w:r w:rsidR="00920710" w:rsidRPr="000D1D48">
        <w:rPr>
          <w:sz w:val="28"/>
          <w:szCs w:val="28"/>
        </w:rPr>
        <w:t>х</w:t>
      </w:r>
      <w:r w:rsidRPr="000D1D48">
        <w:rPr>
          <w:sz w:val="28"/>
          <w:szCs w:val="28"/>
        </w:rPr>
        <w:t xml:space="preserve"> получили лечение</w:t>
      </w:r>
      <w:proofErr w:type="gramEnd"/>
      <w:r w:rsidRPr="000D1D48">
        <w:rPr>
          <w:sz w:val="28"/>
          <w:szCs w:val="28"/>
        </w:rPr>
        <w:t xml:space="preserve"> 2125 детей, в том числе детей-инвалидов - 36 человек. </w:t>
      </w:r>
    </w:p>
    <w:p w:rsidR="00C1417B" w:rsidRPr="000D1D48" w:rsidRDefault="00C1417B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>Источником финансирования их деятельности в основном являются средства субсидии</w:t>
      </w:r>
      <w:r w:rsidR="00920710" w:rsidRPr="000D1D48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>на обеспечение госзадания, наибольшая часть</w:t>
      </w:r>
      <w:r w:rsidR="00F46200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 xml:space="preserve">которой </w:t>
      </w:r>
      <w:r w:rsidR="00F46200">
        <w:rPr>
          <w:sz w:val="28"/>
          <w:szCs w:val="28"/>
        </w:rPr>
        <w:t>(</w:t>
      </w:r>
      <w:bookmarkStart w:id="0" w:name="_GoBack"/>
      <w:bookmarkEnd w:id="0"/>
      <w:r w:rsidR="00920710" w:rsidRPr="000D1D48">
        <w:rPr>
          <w:sz w:val="28"/>
          <w:szCs w:val="28"/>
        </w:rPr>
        <w:t xml:space="preserve">от 78 % до 83%) </w:t>
      </w:r>
      <w:r w:rsidRPr="000D1D48">
        <w:rPr>
          <w:sz w:val="28"/>
          <w:szCs w:val="28"/>
        </w:rPr>
        <w:t xml:space="preserve">направляется на оплату труда и отчисления во внебюджетные фонды, </w:t>
      </w:r>
      <w:r w:rsidR="00D24628" w:rsidRPr="000D1D48">
        <w:rPr>
          <w:sz w:val="28"/>
          <w:szCs w:val="28"/>
        </w:rPr>
        <w:t xml:space="preserve">а также </w:t>
      </w:r>
      <w:r w:rsidRPr="000D1D48">
        <w:rPr>
          <w:sz w:val="28"/>
          <w:szCs w:val="28"/>
        </w:rPr>
        <w:t>приобретение продуктов</w:t>
      </w:r>
      <w:r w:rsidR="00D24628" w:rsidRPr="000D1D48">
        <w:rPr>
          <w:sz w:val="28"/>
          <w:szCs w:val="28"/>
        </w:rPr>
        <w:t xml:space="preserve"> и коммунальные услуги (16</w:t>
      </w:r>
      <w:r w:rsidR="00920710" w:rsidRPr="000D1D48">
        <w:rPr>
          <w:sz w:val="28"/>
          <w:szCs w:val="28"/>
        </w:rPr>
        <w:t>% - 12%)</w:t>
      </w:r>
      <w:r w:rsidRPr="000D1D48">
        <w:rPr>
          <w:sz w:val="28"/>
          <w:szCs w:val="28"/>
        </w:rPr>
        <w:t xml:space="preserve">. Средства на приобретение оборудования, в том числе оснащение детских площадок для детей, учредителем не выделялись, капитальный ремонт </w:t>
      </w:r>
      <w:r w:rsidRPr="000D1D48">
        <w:rPr>
          <w:sz w:val="28"/>
          <w:szCs w:val="28"/>
        </w:rPr>
        <w:lastRenderedPageBreak/>
        <w:t>помещений в учреждениях не производился, текущий ремонт осуществляется силами работников учреждений за счет средств</w:t>
      </w:r>
      <w:r w:rsidR="00D24628" w:rsidRPr="000D1D48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>на выполнение госзадания.</w:t>
      </w:r>
    </w:p>
    <w:p w:rsidR="00C1417B" w:rsidRPr="000D1D48" w:rsidRDefault="00C1417B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 xml:space="preserve">За три года указанными санаториями в рамках Подпрограммы № 4 получено субсидий на иные цели (в основном на капитальный ремонт коммуникаций, ремонт ограждения) в общей сумме 9,2 </w:t>
      </w:r>
      <w:r w:rsidR="00920710" w:rsidRPr="000D1D48">
        <w:rPr>
          <w:sz w:val="28"/>
          <w:szCs w:val="28"/>
        </w:rPr>
        <w:t>млн</w:t>
      </w:r>
      <w:r w:rsidRPr="000D1D48">
        <w:rPr>
          <w:sz w:val="28"/>
          <w:szCs w:val="28"/>
        </w:rPr>
        <w:t>.</w:t>
      </w:r>
      <w:r w:rsidR="000350E0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 xml:space="preserve">рублей, что составило 8 % от объема субсидий на иные цели, предусмотренного подпрограммой (116,4 </w:t>
      </w:r>
      <w:r w:rsidR="00920710" w:rsidRPr="000D1D48">
        <w:rPr>
          <w:sz w:val="28"/>
          <w:szCs w:val="28"/>
        </w:rPr>
        <w:t>млн</w:t>
      </w:r>
      <w:r w:rsidRPr="000D1D48">
        <w:rPr>
          <w:sz w:val="28"/>
          <w:szCs w:val="28"/>
        </w:rPr>
        <w:t>.рублей) в 2015-2017 годах.</w:t>
      </w:r>
    </w:p>
    <w:p w:rsidR="00C1417B" w:rsidRPr="000D1D48" w:rsidRDefault="00C1417B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 xml:space="preserve">Наибольшая часть средств субсидий на иные цели (107,2 </w:t>
      </w:r>
      <w:r w:rsidR="00920710" w:rsidRPr="000D1D48">
        <w:rPr>
          <w:sz w:val="28"/>
          <w:szCs w:val="28"/>
        </w:rPr>
        <w:t>млн</w:t>
      </w:r>
      <w:r w:rsidRPr="000D1D48">
        <w:rPr>
          <w:sz w:val="28"/>
          <w:szCs w:val="28"/>
        </w:rPr>
        <w:t>.</w:t>
      </w:r>
      <w:r w:rsidR="000350E0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>рублей)</w:t>
      </w:r>
      <w:r w:rsidR="00920710" w:rsidRPr="000D1D48">
        <w:rPr>
          <w:sz w:val="28"/>
          <w:szCs w:val="28"/>
        </w:rPr>
        <w:t>, предусмотренных подпрограммой,</w:t>
      </w:r>
      <w:r w:rsidRPr="000D1D48">
        <w:rPr>
          <w:sz w:val="28"/>
          <w:szCs w:val="28"/>
        </w:rPr>
        <w:t xml:space="preserve"> в проверяемом периоде была распределена Реабилитационному центру «Аралия» (на капитальный ремонт, приобретение медицинского оборудования, в том числе мебели), который освоил</w:t>
      </w:r>
      <w:r w:rsidR="00D24628" w:rsidRPr="000D1D48">
        <w:rPr>
          <w:sz w:val="28"/>
          <w:szCs w:val="28"/>
        </w:rPr>
        <w:t xml:space="preserve"> их на </w:t>
      </w:r>
      <w:r w:rsidRPr="000D1D48">
        <w:rPr>
          <w:sz w:val="28"/>
          <w:szCs w:val="28"/>
        </w:rPr>
        <w:t>37 % или 40,1 млн.</w:t>
      </w:r>
      <w:r w:rsidR="000350E0">
        <w:rPr>
          <w:sz w:val="28"/>
          <w:szCs w:val="28"/>
        </w:rPr>
        <w:t xml:space="preserve"> </w:t>
      </w:r>
      <w:r w:rsidRPr="000D1D48">
        <w:rPr>
          <w:sz w:val="28"/>
          <w:szCs w:val="28"/>
        </w:rPr>
        <w:t xml:space="preserve">рублей. Основными причинами неосвоения послужила недобросовестность подрядчиков и поставщиков, которые не смогли обеспечить исполнение госконтрактов должным образом. </w:t>
      </w:r>
    </w:p>
    <w:p w:rsidR="006F5C61" w:rsidRPr="000D1D48" w:rsidRDefault="003D45B1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0D1D48">
        <w:rPr>
          <w:sz w:val="28"/>
          <w:szCs w:val="28"/>
        </w:rPr>
        <w:t>Выборочной проверкой произведенных расходов санаториями, отмечены отдельные нарушения в части: недостатка работы, направленной на погашение просроченной дебиторской задолженн</w:t>
      </w:r>
      <w:r w:rsidR="000350E0">
        <w:rPr>
          <w:sz w:val="28"/>
          <w:szCs w:val="28"/>
        </w:rPr>
        <w:t>ости по налогам и сборам</w:t>
      </w:r>
      <w:r w:rsidRPr="000D1D48">
        <w:rPr>
          <w:sz w:val="28"/>
          <w:szCs w:val="28"/>
        </w:rPr>
        <w:t>, соблюдения</w:t>
      </w:r>
      <w:r w:rsidR="00810F56" w:rsidRPr="000D1D48">
        <w:rPr>
          <w:sz w:val="28"/>
          <w:szCs w:val="28"/>
        </w:rPr>
        <w:t xml:space="preserve"> отдельных </w:t>
      </w:r>
      <w:r w:rsidRPr="000D1D48">
        <w:rPr>
          <w:sz w:val="28"/>
          <w:szCs w:val="28"/>
        </w:rPr>
        <w:t>норм законодательства о закупках</w:t>
      </w:r>
      <w:r w:rsidR="006F5C61" w:rsidRPr="000D1D48">
        <w:rPr>
          <w:sz w:val="28"/>
          <w:szCs w:val="28"/>
        </w:rPr>
        <w:t>, а также в части некачественной подготовки в 2014 году проектной документации и отсутствия в договоре гарантийных обязательств, которые в 2015 году повлекли неосвоение Детским многопрофильным санаторием средств в сумме 3</w:t>
      </w:r>
      <w:r w:rsidR="00810F56" w:rsidRPr="000D1D48">
        <w:rPr>
          <w:sz w:val="28"/>
          <w:szCs w:val="28"/>
        </w:rPr>
        <w:t>,</w:t>
      </w:r>
      <w:r w:rsidR="006F5C61" w:rsidRPr="000D1D48">
        <w:rPr>
          <w:sz w:val="28"/>
          <w:szCs w:val="28"/>
        </w:rPr>
        <w:t>5</w:t>
      </w:r>
      <w:r w:rsidR="00810F56" w:rsidRPr="000D1D48">
        <w:rPr>
          <w:sz w:val="28"/>
          <w:szCs w:val="28"/>
        </w:rPr>
        <w:t xml:space="preserve"> млн</w:t>
      </w:r>
      <w:r w:rsidR="006F5C61" w:rsidRPr="000D1D48">
        <w:rPr>
          <w:sz w:val="28"/>
          <w:szCs w:val="28"/>
        </w:rPr>
        <w:t>.</w:t>
      </w:r>
      <w:r w:rsidR="000350E0">
        <w:rPr>
          <w:sz w:val="28"/>
          <w:szCs w:val="28"/>
        </w:rPr>
        <w:t xml:space="preserve"> </w:t>
      </w:r>
      <w:r w:rsidR="006F5C61" w:rsidRPr="000D1D48">
        <w:rPr>
          <w:sz w:val="28"/>
          <w:szCs w:val="28"/>
        </w:rPr>
        <w:t>рублей</w:t>
      </w:r>
      <w:proofErr w:type="gramEnd"/>
      <w:r w:rsidR="006F5C61" w:rsidRPr="000D1D48">
        <w:rPr>
          <w:sz w:val="28"/>
          <w:szCs w:val="28"/>
        </w:rPr>
        <w:t>, предусмотренных на ремонт систем видеонаблюдения</w:t>
      </w:r>
      <w:r w:rsidR="00810F56" w:rsidRPr="000D1D48">
        <w:rPr>
          <w:sz w:val="28"/>
          <w:szCs w:val="28"/>
        </w:rPr>
        <w:t>, вентиляции и электроосвещения</w:t>
      </w:r>
      <w:r w:rsidR="006F5C61" w:rsidRPr="000D1D48">
        <w:rPr>
          <w:sz w:val="28"/>
          <w:szCs w:val="28"/>
        </w:rPr>
        <w:t>.</w:t>
      </w:r>
    </w:p>
    <w:p w:rsidR="003D45B1" w:rsidRPr="000D1D48" w:rsidRDefault="006F5C61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 xml:space="preserve">Наряду с указанным министерству здравоохранения до конца года предложено усилить контроль за исполнением требований п. 5 Постановления ПСО № 48 и принятого в соответствии с ним Приказа Министерства </w:t>
      </w:r>
      <w:proofErr w:type="gramStart"/>
      <w:r w:rsidRPr="000D1D48">
        <w:rPr>
          <w:sz w:val="28"/>
          <w:szCs w:val="28"/>
        </w:rPr>
        <w:t>СО</w:t>
      </w:r>
      <w:proofErr w:type="gramEnd"/>
      <w:r w:rsidRPr="000D1D48">
        <w:rPr>
          <w:sz w:val="28"/>
          <w:szCs w:val="28"/>
        </w:rPr>
        <w:t xml:space="preserve">, определяющих долю оплаты труда работников АУП и вспомогательного персонала в общем объеме оплаты труда в детских санаториях, которая на момент проверки превышала 40 % (составляла 44% - 46%). В ходе контрольного мероприятия в санаториях организована работа, направленная </w:t>
      </w:r>
      <w:r w:rsidR="000350E0">
        <w:rPr>
          <w:sz w:val="28"/>
          <w:szCs w:val="28"/>
        </w:rPr>
        <w:t xml:space="preserve">на </w:t>
      </w:r>
      <w:r w:rsidRPr="000D1D48">
        <w:rPr>
          <w:sz w:val="28"/>
          <w:szCs w:val="28"/>
        </w:rPr>
        <w:t>обеспечение указанных норм.</w:t>
      </w:r>
    </w:p>
    <w:p w:rsidR="00333816" w:rsidRPr="000D1D48" w:rsidRDefault="00333816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D1D48">
        <w:rPr>
          <w:sz w:val="28"/>
          <w:szCs w:val="28"/>
        </w:rPr>
        <w:t>По итогам контрольного мероприятия в адрес министерства образования и здравоохранения направлены представления, копия отчета направлена в адрес Губернатора Сахалинской области и Сахалинской областной Думы.</w:t>
      </w:r>
    </w:p>
    <w:p w:rsidR="00333816" w:rsidRPr="000D1D48" w:rsidRDefault="00333816" w:rsidP="00051AC7">
      <w:pPr>
        <w:pStyle w:val="a3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333816" w:rsidRPr="000D1D48" w:rsidRDefault="00333816" w:rsidP="00051AC7">
      <w:pPr>
        <w:tabs>
          <w:tab w:val="left" w:pos="1134"/>
        </w:tabs>
        <w:ind w:firstLine="567"/>
        <w:rPr>
          <w:sz w:val="28"/>
          <w:szCs w:val="28"/>
        </w:rPr>
      </w:pPr>
    </w:p>
    <w:p w:rsidR="00333816" w:rsidRPr="000D1D48" w:rsidRDefault="00333816" w:rsidP="00051AC7">
      <w:pPr>
        <w:tabs>
          <w:tab w:val="left" w:pos="1134"/>
        </w:tabs>
        <w:ind w:firstLine="567"/>
        <w:rPr>
          <w:sz w:val="28"/>
          <w:szCs w:val="28"/>
        </w:rPr>
      </w:pPr>
    </w:p>
    <w:sectPr w:rsidR="00333816" w:rsidRPr="000D1D48" w:rsidSect="00051AC7">
      <w:pgSz w:w="11906" w:h="16838" w:code="9"/>
      <w:pgMar w:top="284" w:right="282" w:bottom="142" w:left="42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127"/>
    <w:multiLevelType w:val="hybridMultilevel"/>
    <w:tmpl w:val="CA44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129E"/>
    <w:multiLevelType w:val="multilevel"/>
    <w:tmpl w:val="99A6EB8C"/>
    <w:lvl w:ilvl="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A"/>
    <w:rsid w:val="000350E0"/>
    <w:rsid w:val="00051AC7"/>
    <w:rsid w:val="000D1D48"/>
    <w:rsid w:val="00333816"/>
    <w:rsid w:val="00367F73"/>
    <w:rsid w:val="003D45B1"/>
    <w:rsid w:val="0041733C"/>
    <w:rsid w:val="00582CEE"/>
    <w:rsid w:val="00615F28"/>
    <w:rsid w:val="006D4480"/>
    <w:rsid w:val="006F5C61"/>
    <w:rsid w:val="00726237"/>
    <w:rsid w:val="00810F56"/>
    <w:rsid w:val="00920710"/>
    <w:rsid w:val="009635F0"/>
    <w:rsid w:val="009B4AF4"/>
    <w:rsid w:val="009F650B"/>
    <w:rsid w:val="00B762AE"/>
    <w:rsid w:val="00C1417B"/>
    <w:rsid w:val="00C167B0"/>
    <w:rsid w:val="00D24628"/>
    <w:rsid w:val="00D26074"/>
    <w:rsid w:val="00ED12FC"/>
    <w:rsid w:val="00F46200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67D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867DA"/>
    <w:pPr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67DA"/>
  </w:style>
  <w:style w:type="paragraph" w:styleId="3">
    <w:name w:val="Body Text Indent 3"/>
    <w:basedOn w:val="a"/>
    <w:link w:val="30"/>
    <w:uiPriority w:val="99"/>
    <w:semiHidden/>
    <w:unhideWhenUsed/>
    <w:rsid w:val="00C141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1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3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1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33816"/>
    <w:pPr>
      <w:tabs>
        <w:tab w:val="left" w:pos="851"/>
        <w:tab w:val="left" w:pos="993"/>
      </w:tabs>
      <w:ind w:firstLine="567"/>
    </w:pPr>
    <w:rPr>
      <w:rFonts w:ascii="Arial Narrow" w:hAnsi="Arial Narrow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3816"/>
    <w:rPr>
      <w:rFonts w:ascii="Arial Narrow" w:hAnsi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67D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867DA"/>
    <w:pPr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67DA"/>
  </w:style>
  <w:style w:type="paragraph" w:styleId="3">
    <w:name w:val="Body Text Indent 3"/>
    <w:basedOn w:val="a"/>
    <w:link w:val="30"/>
    <w:uiPriority w:val="99"/>
    <w:semiHidden/>
    <w:unhideWhenUsed/>
    <w:rsid w:val="00C141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1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3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1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33816"/>
    <w:pPr>
      <w:tabs>
        <w:tab w:val="left" w:pos="851"/>
        <w:tab w:val="left" w:pos="993"/>
      </w:tabs>
      <w:ind w:firstLine="567"/>
    </w:pPr>
    <w:rPr>
      <w:rFonts w:ascii="Arial Narrow" w:hAnsi="Arial Narrow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3816"/>
    <w:rPr>
      <w:rFonts w:ascii="Arial Narrow" w:hAnsi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6</cp:revision>
  <cp:lastPrinted>2017-10-12T22:31:00Z</cp:lastPrinted>
  <dcterms:created xsi:type="dcterms:W3CDTF">2017-10-12T23:57:00Z</dcterms:created>
  <dcterms:modified xsi:type="dcterms:W3CDTF">2017-10-13T04:04:00Z</dcterms:modified>
</cp:coreProperties>
</file>