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DA" w:rsidRPr="00671D81" w:rsidRDefault="00287A82" w:rsidP="00074F30">
      <w:pPr>
        <w:rPr>
          <w:rFonts w:eastAsia="Times New Roman" w:cs="Times New Roman"/>
          <w:sz w:val="26"/>
          <w:szCs w:val="26"/>
          <w:lang w:eastAsia="ru-RU"/>
        </w:rPr>
      </w:pPr>
      <w:r w:rsidRPr="00671D81">
        <w:rPr>
          <w:rFonts w:eastAsia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2038E8" w:rsidRPr="00671D81">
        <w:rPr>
          <w:rFonts w:eastAsia="Times New Roman" w:cs="Times New Roman"/>
          <w:sz w:val="26"/>
          <w:szCs w:val="26"/>
          <w:lang w:eastAsia="ru-RU"/>
        </w:rPr>
        <w:t>6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202</w:t>
      </w:r>
      <w:r w:rsidR="002038E8" w:rsidRPr="00671D81">
        <w:rPr>
          <w:rFonts w:eastAsia="Times New Roman" w:cs="Times New Roman"/>
          <w:sz w:val="26"/>
          <w:szCs w:val="26"/>
          <w:lang w:eastAsia="ru-RU"/>
        </w:rPr>
        <w:t>3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год </w:t>
      </w:r>
      <w:r w:rsidR="00D651A8">
        <w:rPr>
          <w:rFonts w:eastAsia="Times New Roman" w:cs="Times New Roman"/>
          <w:sz w:val="26"/>
          <w:szCs w:val="26"/>
          <w:lang w:eastAsia="ru-RU"/>
        </w:rPr>
        <w:t xml:space="preserve">в январе-марте текущего года </w:t>
      </w:r>
      <w:r w:rsidRPr="00671D81">
        <w:rPr>
          <w:rFonts w:eastAsia="Times New Roman" w:cs="Times New Roman"/>
          <w:sz w:val="26"/>
          <w:szCs w:val="26"/>
          <w:lang w:eastAsia="ru-RU"/>
        </w:rPr>
        <w:t>проведено контрольное мероприятие</w:t>
      </w:r>
      <w:r w:rsidR="002F57DA" w:rsidRPr="00671D8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038E8" w:rsidRPr="00671D81">
        <w:rPr>
          <w:rFonts w:eastAsia="Calibri"/>
          <w:sz w:val="26"/>
          <w:szCs w:val="26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области», за 2021, 2022 годы и истекший период 2023 года»</w:t>
      </w:r>
      <w:r w:rsidR="002F57DA" w:rsidRPr="00671D81">
        <w:rPr>
          <w:rFonts w:eastAsia="Times New Roman" w:cs="Times New Roman"/>
          <w:sz w:val="26"/>
          <w:szCs w:val="26"/>
          <w:lang w:eastAsia="ru-RU"/>
        </w:rPr>
        <w:t>.</w:t>
      </w:r>
    </w:p>
    <w:p w:rsidR="002038E8" w:rsidRPr="00671D81" w:rsidRDefault="002038E8" w:rsidP="00074F30">
      <w:pPr>
        <w:tabs>
          <w:tab w:val="left" w:pos="0"/>
        </w:tabs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Стратегией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618, определена главная стратегическая цель развития Сахалинской области – реализация геополитической задачи закрепления населения на территории области за счет формирования развитой экономики и комфортной среды обитания человека, а также достижения среднероссийского уровня социально-экономического развития.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Для достижения этой цели одной из первоочередных задач является создание условий для безопасной жизнедеятельности населения Сахалинской области, обеспечение надежной защиты личности, общества и государства от преступных посягательств.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Выполнение поставленной задачи реализуется посредством государственной </w:t>
      </w:r>
      <w:hyperlink r:id="rId4" w:history="1">
        <w:r w:rsidRPr="00671D81">
          <w:rPr>
            <w:rFonts w:cs="Times New Roman"/>
            <w:sz w:val="26"/>
            <w:szCs w:val="26"/>
          </w:rPr>
          <w:t>программ</w:t>
        </w:r>
      </w:hyperlink>
      <w:r w:rsidRPr="00671D81">
        <w:rPr>
          <w:rFonts w:cs="Times New Roman"/>
          <w:sz w:val="26"/>
          <w:szCs w:val="26"/>
        </w:rPr>
        <w:t xml:space="preserve">ы Сахалинской области «Обеспечение общественного порядка, противодействие преступности и незаконному обороту наркотиков в Сахалинской области», утвержденной постановлением Правительства Сахалинской области от 29.12.2012 № 695 (далее – государственная программа).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Основной целью государственной программы является повышение качества и результативности противодействия преступности, обеспечение общественной безопасности и безопасности дорожного движения, сокращение масштабов незаконного потребления наркотиков, а также создание необходимых условий для обеспечения трудовой занятости осужденных и снижение уровня коррупции при исполнении органами исполнительной власти Сахалинской области государственных функций.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Проведенным анализом целей и задач государственной программы установлено их соответствие целям и задачам, определенным стратегическими документами Российской Федерации: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Указами Президента Российской Федерации от 26.06.2020 № 427 «О мерах по социально-экономическому развитию Дальнего Востока», от 21.07.2020 № 474 «О национальных целях развития Российской Федерации на период до 2030 года», от 07.05.2018 № 204 «О национальных целях и стратегических задачах развития Российской Федерации на период до 2024 года», от 09.05.2017 № 203 «О Стратегии развития информационного общества в Российской Федерации на 2017-2030 годы», от 23.11.2020 года № 733 «Об утверждении Стратегии государственной антинаркотической политики Российской Федерации на период до 2030 года»;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Постановлением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Распоряжением Правительства Российской Федерации от 28.12.2009 № 2094-р «Об утверждении Стратегии социально-экономического развития Дальнего Востока и Байкальского региона на период до 2025 года». 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Государственная программа рассчитана на 13 лет с 2013 по 2025 годы, и реализуется посредством 7 подпрограмм, из которых </w:t>
      </w:r>
      <w:hyperlink r:id="rId5" w:history="1">
        <w:r w:rsidRPr="00671D81">
          <w:rPr>
            <w:rFonts w:cs="Times New Roman"/>
            <w:sz w:val="26"/>
            <w:szCs w:val="26"/>
          </w:rPr>
          <w:t>подпрограммы</w:t>
        </w:r>
      </w:hyperlink>
      <w:r w:rsidRPr="00671D81">
        <w:rPr>
          <w:rFonts w:cs="Times New Roman"/>
          <w:sz w:val="26"/>
          <w:szCs w:val="26"/>
        </w:rPr>
        <w:t xml:space="preserve"> №№ 1, </w:t>
      </w:r>
      <w:hyperlink r:id="rId6" w:history="1">
        <w:r w:rsidRPr="00671D81">
          <w:rPr>
            <w:rFonts w:cs="Times New Roman"/>
            <w:sz w:val="26"/>
            <w:szCs w:val="26"/>
          </w:rPr>
          <w:t>2</w:t>
        </w:r>
      </w:hyperlink>
      <w:r w:rsidRPr="00671D81">
        <w:rPr>
          <w:rFonts w:cs="Times New Roman"/>
          <w:sz w:val="26"/>
          <w:szCs w:val="26"/>
        </w:rPr>
        <w:t xml:space="preserve">, </w:t>
      </w:r>
      <w:hyperlink r:id="rId7" w:history="1">
        <w:r w:rsidRPr="00671D81">
          <w:rPr>
            <w:rFonts w:cs="Times New Roman"/>
            <w:sz w:val="26"/>
            <w:szCs w:val="26"/>
          </w:rPr>
          <w:t>4</w:t>
        </w:r>
      </w:hyperlink>
      <w:r w:rsidRPr="00671D81">
        <w:rPr>
          <w:rFonts w:cs="Times New Roman"/>
          <w:sz w:val="26"/>
          <w:szCs w:val="26"/>
        </w:rPr>
        <w:t xml:space="preserve">, </w:t>
      </w:r>
      <w:hyperlink r:id="rId8" w:history="1">
        <w:r w:rsidRPr="00671D81">
          <w:rPr>
            <w:rFonts w:cs="Times New Roman"/>
            <w:sz w:val="26"/>
            <w:szCs w:val="26"/>
          </w:rPr>
          <w:t>5</w:t>
        </w:r>
      </w:hyperlink>
      <w:r w:rsidRPr="00671D81">
        <w:rPr>
          <w:rFonts w:cs="Times New Roman"/>
          <w:sz w:val="26"/>
          <w:szCs w:val="26"/>
        </w:rPr>
        <w:t xml:space="preserve">, </w:t>
      </w:r>
      <w:hyperlink r:id="rId9" w:history="1">
        <w:r w:rsidRPr="00671D81">
          <w:rPr>
            <w:rFonts w:cs="Times New Roman"/>
            <w:sz w:val="26"/>
            <w:szCs w:val="26"/>
          </w:rPr>
          <w:t>6</w:t>
        </w:r>
      </w:hyperlink>
      <w:r w:rsidRPr="00671D81">
        <w:rPr>
          <w:rFonts w:cs="Times New Roman"/>
          <w:sz w:val="26"/>
          <w:szCs w:val="26"/>
        </w:rPr>
        <w:t xml:space="preserve"> осуществляются в 2 этапа: I этап – 2013-2015 годы, II этап – 2016-2025 годы; </w:t>
      </w:r>
      <w:hyperlink r:id="rId10" w:history="1">
        <w:r w:rsidRPr="00671D81">
          <w:rPr>
            <w:rFonts w:cs="Times New Roman"/>
            <w:sz w:val="26"/>
            <w:szCs w:val="26"/>
          </w:rPr>
          <w:t>подпрограмма № 3</w:t>
        </w:r>
      </w:hyperlink>
      <w:r w:rsidRPr="00671D81">
        <w:rPr>
          <w:rFonts w:cs="Times New Roman"/>
          <w:sz w:val="26"/>
          <w:szCs w:val="26"/>
        </w:rPr>
        <w:t xml:space="preserve"> – на I этапе в 2013 году осуществлялась реализация областной целевой программы, на II этапе – реализация подпрограммы в 2014-2025 годах; </w:t>
      </w:r>
      <w:hyperlink r:id="rId11" w:history="1">
        <w:r w:rsidRPr="00671D81">
          <w:rPr>
            <w:rFonts w:cs="Times New Roman"/>
            <w:sz w:val="26"/>
            <w:szCs w:val="26"/>
          </w:rPr>
          <w:t>подпрограмма № 7</w:t>
        </w:r>
      </w:hyperlink>
      <w:r w:rsidRPr="00671D81">
        <w:rPr>
          <w:rFonts w:cs="Times New Roman"/>
          <w:sz w:val="26"/>
          <w:szCs w:val="26"/>
        </w:rPr>
        <w:t xml:space="preserve"> реализуется в один этап с 2017-2025 годы.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По итогам оценки за 2021 год государственная программа заняла 10 место в рейтинге эффективности государственных программ. Показатель комплексной эффективности составил 0,960 (высокий). 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Финансовое обеспечение государственной программы осуществляется за счет средств областного бюджета Сахалинской области.  </w:t>
      </w:r>
    </w:p>
    <w:p w:rsidR="002038E8" w:rsidRPr="00671D81" w:rsidRDefault="002038E8" w:rsidP="00074F30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Объем средств на реализацию государственной программы в проверяемом периоде   составляет 1357285,3 тыс. рублей, в том числе: 2021 год – 431858,9 тыс. рублей, 2022 год – 573923,5 тыс. рублей, 2023 год – 351502,9 тыс. рублей.</w:t>
      </w:r>
    </w:p>
    <w:p w:rsidR="002038E8" w:rsidRPr="00671D81" w:rsidRDefault="002038E8" w:rsidP="00074F30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</w:rPr>
      </w:pPr>
      <w:r w:rsidRPr="00671D81">
        <w:rPr>
          <w:rFonts w:eastAsia="Times New Roman" w:cs="Times New Roman"/>
          <w:sz w:val="26"/>
          <w:szCs w:val="26"/>
        </w:rPr>
        <w:t xml:space="preserve">Кассовые расходы составили 1021564,2 тыс. рублей, в том числе: в 2021 году – 428154,5 тыс. рублей (99,1 %), в 2022 году – 558958,2 тыс. рублей (97,4 %), 2023 год (по состоянию на 01.02.2023) – 34451,5 тыс. рублей (9,8 %). </w:t>
      </w:r>
    </w:p>
    <w:p w:rsidR="00671D81" w:rsidRPr="00671D81" w:rsidRDefault="00671D81" w:rsidP="00671D81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В рамках реализации мероприятий подпрограммы  № 1 «Профилактика правонарушений в Сахалинской области» осуществлялось информационно-методическое обеспечение профилактики правонарушений и укрепление материально-технической базы правоохранительных органов, участвующих в обеспечении общественного порядка и общественной безопасности».  </w:t>
      </w:r>
    </w:p>
    <w:p w:rsidR="00671D81" w:rsidRPr="00671D81" w:rsidRDefault="00671D81" w:rsidP="00671D8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671D81">
        <w:rPr>
          <w:rFonts w:eastAsia="Times New Roman" w:cs="Times New Roman"/>
          <w:sz w:val="26"/>
          <w:szCs w:val="26"/>
          <w:lang w:eastAsia="ru-RU"/>
        </w:rPr>
        <w:t xml:space="preserve">В рамках </w:t>
      </w:r>
      <w:r w:rsidRPr="00671D81">
        <w:rPr>
          <w:rFonts w:cs="Times New Roman"/>
          <w:sz w:val="26"/>
          <w:szCs w:val="26"/>
        </w:rPr>
        <w:t xml:space="preserve">подпрограммы № 2 «Повышение безопасности дорожного движения в Сахалинской области» заключались </w:t>
      </w:r>
      <w:r w:rsidRPr="00671D81">
        <w:rPr>
          <w:rFonts w:cs="Times New Roman"/>
          <w:bCs/>
          <w:iCs/>
          <w:sz w:val="26"/>
          <w:szCs w:val="26"/>
        </w:rPr>
        <w:t>государственные контракты на  производство и размещение видеоматериалов/аудиоматериалов на тему профилактики безопасности дорожного движения в средствах массовой информации, аренда рекламных конструкций.</w:t>
      </w:r>
      <w:r w:rsidRPr="00671D81">
        <w:rPr>
          <w:rFonts w:cs="Times New Roman"/>
          <w:sz w:val="26"/>
          <w:szCs w:val="26"/>
        </w:rPr>
        <w:t xml:space="preserve"> </w:t>
      </w:r>
      <w:r w:rsidRPr="00671D81">
        <w:rPr>
          <w:rFonts w:cs="Times New Roman"/>
          <w:bCs/>
          <w:iCs/>
          <w:sz w:val="26"/>
          <w:szCs w:val="26"/>
        </w:rPr>
        <w:t xml:space="preserve"> Министерством образования приобретены светоотражающие элементы (приобретено 12000 штук), которые распределены в муниципальные образования Сахалинской области. Также средства направлялись на организацию и участие во Всероссийском конкурсе юных инспекторов движения «Безопасное колесо», на проведение профилактических мероприятий «Внимание дети», «Внимание пешеход», «Вежливый водитель».   </w:t>
      </w:r>
    </w:p>
    <w:p w:rsidR="00671D81" w:rsidRPr="00671D81" w:rsidRDefault="00671D81" w:rsidP="00671D81">
      <w:pPr>
        <w:rPr>
          <w:bCs/>
          <w:iCs/>
          <w:sz w:val="26"/>
          <w:szCs w:val="26"/>
        </w:rPr>
      </w:pPr>
      <w:r w:rsidRPr="00671D81">
        <w:rPr>
          <w:rFonts w:cs="Times New Roman"/>
          <w:bCs/>
          <w:iCs/>
          <w:sz w:val="26"/>
          <w:szCs w:val="26"/>
        </w:rPr>
        <w:t>По подпрограмме</w:t>
      </w:r>
      <w:r w:rsidRPr="00671D81">
        <w:rPr>
          <w:rFonts w:cs="Times New Roman"/>
          <w:sz w:val="26"/>
          <w:szCs w:val="26"/>
        </w:rPr>
        <w:t xml:space="preserve"> № 3 «Комплексные меры по реализации государственной антинаркотической политики в Сахалинской области»   в основном средства направляются </w:t>
      </w:r>
      <w:r w:rsidRPr="00671D81">
        <w:rPr>
          <w:rFonts w:cs="Times New Roman"/>
          <w:bCs/>
          <w:iCs/>
          <w:sz w:val="26"/>
          <w:szCs w:val="26"/>
        </w:rPr>
        <w:t xml:space="preserve">министерством здравоохранения Сахалинской области </w:t>
      </w:r>
      <w:r w:rsidRPr="00671D81">
        <w:rPr>
          <w:sz w:val="26"/>
          <w:szCs w:val="26"/>
        </w:rPr>
        <w:t xml:space="preserve">на  приобретение тест-полосок для экспресс-диагностики наркотических веществ в организме человека; приобретение реагентов и расходных материалов, а также </w:t>
      </w:r>
      <w:r w:rsidRPr="00671D81">
        <w:rPr>
          <w:bCs/>
          <w:iCs/>
          <w:sz w:val="26"/>
          <w:szCs w:val="26"/>
        </w:rPr>
        <w:t xml:space="preserve">производство тематических телепрограмм антинаркотической направленности. </w:t>
      </w:r>
    </w:p>
    <w:p w:rsidR="00671D81" w:rsidRPr="00671D81" w:rsidRDefault="00671D81" w:rsidP="00671D81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В рамках подпрограммы № 4 д</w:t>
      </w:r>
      <w:r w:rsidRPr="00671D81">
        <w:rPr>
          <w:rFonts w:cs="Times New Roman"/>
          <w:bCs/>
          <w:iCs/>
          <w:sz w:val="26"/>
          <w:szCs w:val="26"/>
        </w:rPr>
        <w:t>ля социальной адаптации лиц, освободившихся из мест лишения свободы, в Сахалинской области  о</w:t>
      </w:r>
      <w:r w:rsidRPr="00671D81">
        <w:rPr>
          <w:rFonts w:cs="Times New Roman"/>
          <w:sz w:val="26"/>
          <w:szCs w:val="26"/>
        </w:rPr>
        <w:t xml:space="preserve">существляется: </w:t>
      </w:r>
    </w:p>
    <w:p w:rsidR="00671D81" w:rsidRPr="00671D81" w:rsidRDefault="00671D81" w:rsidP="00671D81">
      <w:pPr>
        <w:rPr>
          <w:rFonts w:cs="Times New Roman"/>
          <w:bCs/>
          <w:iCs/>
          <w:sz w:val="26"/>
          <w:szCs w:val="26"/>
        </w:rPr>
      </w:pPr>
      <w:r w:rsidRPr="00671D81">
        <w:rPr>
          <w:rFonts w:cs="Times New Roman"/>
          <w:sz w:val="26"/>
          <w:szCs w:val="26"/>
        </w:rPr>
        <w:t xml:space="preserve">- </w:t>
      </w:r>
      <w:r w:rsidRPr="00671D81">
        <w:rPr>
          <w:rFonts w:cs="Times New Roman"/>
          <w:bCs/>
          <w:iCs/>
          <w:sz w:val="26"/>
          <w:szCs w:val="26"/>
        </w:rPr>
        <w:t>организация временных субсидированных рабочих мест для трудоустройства незанятых граждан, освобожденных из учреждений, исполняющих наказания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работы. В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2021 году трудоустроено 17 граждан, в 2022 году –  15 граждан;  </w:t>
      </w:r>
    </w:p>
    <w:p w:rsidR="00671D81" w:rsidRPr="00671D81" w:rsidRDefault="00671D81" w:rsidP="00671D81">
      <w:pPr>
        <w:rPr>
          <w:rFonts w:cs="Times New Roman"/>
          <w:bCs/>
          <w:iCs/>
          <w:sz w:val="26"/>
          <w:szCs w:val="26"/>
        </w:rPr>
      </w:pPr>
      <w:r w:rsidRPr="00671D81">
        <w:rPr>
          <w:rFonts w:cs="Times New Roman"/>
          <w:bCs/>
          <w:iCs/>
          <w:sz w:val="26"/>
          <w:szCs w:val="26"/>
        </w:rPr>
        <w:t xml:space="preserve">- обучение  указанной категории граждан (в 2021 году обучение прошли 17 человек, в 2022 году – 18 человек. 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71D81" w:rsidRPr="00671D81" w:rsidRDefault="00671D81" w:rsidP="00671D81">
      <w:pPr>
        <w:rPr>
          <w:rFonts w:cs="Times New Roman"/>
          <w:sz w:val="26"/>
          <w:szCs w:val="26"/>
        </w:rPr>
      </w:pPr>
      <w:r w:rsidRPr="00671D81">
        <w:rPr>
          <w:rFonts w:cs="Times New Roman"/>
          <w:bCs/>
          <w:iCs/>
          <w:sz w:val="26"/>
          <w:szCs w:val="26"/>
        </w:rPr>
        <w:lastRenderedPageBreak/>
        <w:t>-  на р</w:t>
      </w:r>
      <w:r w:rsidRPr="00671D81">
        <w:rPr>
          <w:rFonts w:cs="Times New Roman"/>
          <w:sz w:val="26"/>
          <w:szCs w:val="26"/>
        </w:rPr>
        <w:t>азвитие уголовно-исполнительной системы, направленной на социальную реабилитацию осужденных перед освобождением.</w:t>
      </w:r>
    </w:p>
    <w:p w:rsidR="00671D81" w:rsidRPr="00671D81" w:rsidRDefault="00671D81" w:rsidP="00671D81">
      <w:pPr>
        <w:rPr>
          <w:rFonts w:cs="Times New Roman"/>
          <w:bCs/>
          <w:sz w:val="26"/>
          <w:szCs w:val="26"/>
        </w:rPr>
      </w:pPr>
      <w:r w:rsidRPr="00671D81">
        <w:rPr>
          <w:rFonts w:cs="Times New Roman"/>
          <w:bCs/>
          <w:iCs/>
          <w:sz w:val="26"/>
          <w:szCs w:val="26"/>
        </w:rPr>
        <w:t xml:space="preserve">В рамках подпрограммы </w:t>
      </w:r>
      <w:r w:rsidRPr="00671D81">
        <w:rPr>
          <w:rFonts w:cs="Times New Roman"/>
          <w:sz w:val="26"/>
          <w:szCs w:val="26"/>
        </w:rPr>
        <w:t>№ 5 «Профилактика терроризма и экстремизма в Сахалинской области» подведомственными учреждениями</w:t>
      </w:r>
      <w:r w:rsidRPr="00671D81">
        <w:rPr>
          <w:rFonts w:cs="Times New Roman"/>
          <w:bCs/>
          <w:iCs/>
          <w:sz w:val="26"/>
          <w:szCs w:val="26"/>
        </w:rPr>
        <w:t xml:space="preserve"> министерства спорта</w:t>
      </w:r>
      <w:r w:rsidRPr="00671D81">
        <w:rPr>
          <w:rFonts w:cs="Times New Roman"/>
          <w:sz w:val="26"/>
          <w:szCs w:val="26"/>
        </w:rPr>
        <w:t xml:space="preserve"> Сахалинской области осуществлено </w:t>
      </w:r>
      <w:r w:rsidRPr="00671D81">
        <w:rPr>
          <w:sz w:val="26"/>
          <w:szCs w:val="26"/>
        </w:rPr>
        <w:t>приобретение и установка технических систем и устройств для обеспечения общественного порядка и общественной безопасности  путем технического оснащения здания и помещений.</w:t>
      </w:r>
    </w:p>
    <w:p w:rsidR="00671D81" w:rsidRPr="00671D81" w:rsidRDefault="00671D81" w:rsidP="00671D8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671D81">
        <w:rPr>
          <w:sz w:val="26"/>
          <w:szCs w:val="26"/>
        </w:rPr>
        <w:t xml:space="preserve">Управлением делами Губернатора и Правительства </w:t>
      </w:r>
      <w:r w:rsidRPr="00671D81">
        <w:rPr>
          <w:rFonts w:cs="Times New Roman"/>
          <w:sz w:val="26"/>
          <w:szCs w:val="26"/>
        </w:rPr>
        <w:t>Сахалинской области заключались договоры на оказание услуг по производству и размещению на областных телевизионных каналах видеоматериалов, направленных на  профилактику терроризма, этнического и религиозного экстремизма.</w:t>
      </w:r>
    </w:p>
    <w:p w:rsidR="00671D81" w:rsidRPr="00671D81" w:rsidRDefault="00671D81" w:rsidP="00671D81">
      <w:pPr>
        <w:rPr>
          <w:rFonts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В рамках подпрограммы № 6 «Противодействие коррупции в органах исполнительной власти Сахалинской области» министерством экономического развития Сахалинской области организовывалось повышение квалификации специалистов, в должностные обязанности которых входит осуществление закупок – в 2021-2022 годах обучение прошли по 100 человек ежегодно.</w:t>
      </w:r>
    </w:p>
    <w:p w:rsidR="00671D81" w:rsidRPr="00671D81" w:rsidRDefault="00671D81" w:rsidP="00671D8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671D81">
        <w:rPr>
          <w:sz w:val="26"/>
          <w:szCs w:val="26"/>
        </w:rPr>
        <w:t xml:space="preserve">Управлением делами Губернатора и Правительства </w:t>
      </w:r>
      <w:r w:rsidRPr="00671D81">
        <w:rPr>
          <w:rFonts w:cs="Times New Roman"/>
          <w:sz w:val="26"/>
          <w:szCs w:val="26"/>
        </w:rPr>
        <w:t>Сахалинской области заключались договоры на трансляцию видеороликов антикоррупционной направленности и  социальной рекламы на областных телеканалах и областных радиостанциях с общим охватом не менее 90 % муниципальных образований.</w:t>
      </w:r>
    </w:p>
    <w:p w:rsidR="00671D81" w:rsidRPr="00671D81" w:rsidRDefault="00671D81" w:rsidP="00671D81">
      <w:pPr>
        <w:rPr>
          <w:rFonts w:eastAsia="Times New Roman" w:cs="Times New Roman"/>
          <w:sz w:val="26"/>
          <w:szCs w:val="26"/>
        </w:rPr>
      </w:pPr>
      <w:r w:rsidRPr="00671D81">
        <w:rPr>
          <w:rFonts w:cs="Times New Roman"/>
          <w:sz w:val="26"/>
          <w:szCs w:val="26"/>
        </w:rPr>
        <w:t>Основной задачей подпрограммы № 7 является построение и развитие АПК «Безопасный город» на территории Сахалинской области.</w:t>
      </w:r>
      <w:r w:rsidRPr="00671D81">
        <w:rPr>
          <w:rFonts w:cs="Times New Roman"/>
          <w:b/>
          <w:bCs/>
          <w:sz w:val="26"/>
          <w:szCs w:val="26"/>
        </w:rPr>
        <w:t xml:space="preserve"> </w:t>
      </w:r>
      <w:r w:rsidRPr="00671D81">
        <w:rPr>
          <w:rFonts w:cs="Times New Roman"/>
          <w:sz w:val="26"/>
          <w:szCs w:val="26"/>
        </w:rPr>
        <w:t xml:space="preserve">Фактически по </w:t>
      </w:r>
      <w:r w:rsidRPr="00671D81">
        <w:rPr>
          <w:rFonts w:eastAsia="Times New Roman" w:cs="Times New Roman"/>
          <w:sz w:val="26"/>
          <w:szCs w:val="26"/>
        </w:rPr>
        <w:t xml:space="preserve">состоянию на 01.01.2023 интегрировано 49 информационных систем в 8-ти муниципальных образованиях (г. Южно-Сахалинск – 28 систем, Корсаковский ГО – 7 систем, Невельский ГО – 8 систем, Долинский ГО – 2 системы,  по одной системе в МО Анивский, Макаровский, Холмский и Поронайский городские округа). </w:t>
      </w:r>
      <w:r w:rsidRPr="00671D81">
        <w:rPr>
          <w:sz w:val="26"/>
          <w:szCs w:val="26"/>
        </w:rPr>
        <w:t xml:space="preserve">Установлено и сопровождается 128 комплексов </w:t>
      </w:r>
      <w:r w:rsidRPr="00671D81">
        <w:rPr>
          <w:rFonts w:eastAsia="Times New Roman" w:cs="Times New Roman"/>
          <w:sz w:val="26"/>
          <w:szCs w:val="26"/>
        </w:rPr>
        <w:t xml:space="preserve">фото-, видеофиксации. </w:t>
      </w:r>
      <w:r w:rsidRPr="00671D81">
        <w:rPr>
          <w:rFonts w:cs="Times New Roman"/>
          <w:sz w:val="26"/>
          <w:szCs w:val="26"/>
        </w:rPr>
        <w:t>Количество объектов транспортной инфраструктуры Сахалинской области, оснащенных системой видеоидентификации физических лиц на рубежах контроля, на 01.01.2023 составляет 30   объектов.</w:t>
      </w:r>
      <w:r w:rsidRPr="00671D81">
        <w:rPr>
          <w:rFonts w:eastAsia="Times New Roman" w:cs="Times New Roman"/>
          <w:sz w:val="26"/>
          <w:szCs w:val="26"/>
        </w:rPr>
        <w:t xml:space="preserve"> </w:t>
      </w:r>
    </w:p>
    <w:p w:rsidR="002038E8" w:rsidRPr="00671D81" w:rsidRDefault="002038E8" w:rsidP="00074F30">
      <w:pPr>
        <w:rPr>
          <w:rFonts w:eastAsia="Times New Roman" w:cs="Times New Roman"/>
          <w:sz w:val="26"/>
          <w:szCs w:val="26"/>
          <w:lang w:eastAsia="ru-RU"/>
        </w:rPr>
      </w:pPr>
      <w:r w:rsidRPr="00671D81">
        <w:rPr>
          <w:rFonts w:cs="Times New Roman"/>
          <w:sz w:val="26"/>
          <w:szCs w:val="26"/>
        </w:rPr>
        <w:t xml:space="preserve">Объектами контрольного мероприятия являлись </w:t>
      </w:r>
      <w:r w:rsidRPr="00671D81">
        <w:rPr>
          <w:sz w:val="26"/>
          <w:szCs w:val="26"/>
        </w:rPr>
        <w:t>управление делами Губернатора и Правительства Сахалинской области,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министерство цифрового и технологического развития Сахалинской области, ГКУ «Центр региональной цифровой трансформации»,</w:t>
      </w:r>
      <w:r w:rsidRPr="00671D81">
        <w:rPr>
          <w:rFonts w:cs="Times New Roman"/>
          <w:sz w:val="26"/>
          <w:szCs w:val="26"/>
        </w:rPr>
        <w:t xml:space="preserve"> министерство транспорта и дорожного хозяйства Сахалинской области,  ГКУ «Управление автомобильных дорог Сахалинской области».</w:t>
      </w:r>
    </w:p>
    <w:p w:rsidR="00074F30" w:rsidRPr="00671D81" w:rsidRDefault="002038E8" w:rsidP="00F404B5">
      <w:pPr>
        <w:rPr>
          <w:rFonts w:eastAsia="Calibri" w:cs="Times New Roman"/>
          <w:sz w:val="26"/>
          <w:szCs w:val="26"/>
        </w:rPr>
      </w:pPr>
      <w:r w:rsidRPr="00671D81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 результатам контрольного мероприятия составлено 3 акта проверок и 7 актов визуальных обследований. Объем проверенных средств составил 750262,2 тыс. рублей, в том числе проверено 157 государственных контрактов на сумму 677432,5 тыс. рублей. Финансовых нарушений не установлено. Имеется н</w:t>
      </w:r>
      <w:r w:rsidR="00F404B5">
        <w:rPr>
          <w:rFonts w:eastAsia="Times New Roman" w:cs="Times New Roman"/>
          <w:bCs/>
          <w:color w:val="000000"/>
          <w:sz w:val="26"/>
          <w:szCs w:val="26"/>
          <w:lang w:eastAsia="ru-RU"/>
        </w:rPr>
        <w:t>арушения структурного характера.</w:t>
      </w:r>
      <w:r w:rsidRPr="00671D81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074F30" w:rsidRPr="00671D81" w:rsidRDefault="00074F30" w:rsidP="00074F30">
      <w:pPr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671D81">
        <w:rPr>
          <w:rFonts w:eastAsia="Times New Roman" w:cs="Times New Roman"/>
          <w:sz w:val="26"/>
          <w:szCs w:val="26"/>
        </w:rPr>
        <w:t>Коллегией КСП Сахалинской области по</w:t>
      </w:r>
      <w:r w:rsidRPr="00671D81">
        <w:rPr>
          <w:rFonts w:eastAsia="Times New Roman" w:cs="Times New Roman"/>
          <w:sz w:val="26"/>
          <w:szCs w:val="26"/>
          <w:lang w:eastAsia="ru-RU"/>
        </w:rPr>
        <w:t xml:space="preserve"> результатам рассмотрения отчета о контрольном мероприятии </w:t>
      </w:r>
      <w:r w:rsidR="00D651A8">
        <w:rPr>
          <w:rFonts w:eastAsia="Times New Roman" w:cs="Times New Roman"/>
          <w:sz w:val="26"/>
          <w:szCs w:val="26"/>
          <w:lang w:eastAsia="ru-RU"/>
        </w:rPr>
        <w:t xml:space="preserve">17.03.2023 </w:t>
      </w:r>
      <w:bookmarkStart w:id="0" w:name="_GoBack"/>
      <w:bookmarkEnd w:id="0"/>
      <w:r w:rsidRPr="00671D81">
        <w:rPr>
          <w:rFonts w:eastAsia="Times New Roman" w:cs="Times New Roman"/>
          <w:sz w:val="26"/>
          <w:szCs w:val="26"/>
          <w:lang w:eastAsia="ru-RU"/>
        </w:rPr>
        <w:t>принято решение</w:t>
      </w:r>
      <w:r w:rsidRPr="00671D81">
        <w:rPr>
          <w:rFonts w:eastAsia="Calibri" w:cs="Times New Roman"/>
          <w:sz w:val="26"/>
          <w:szCs w:val="26"/>
        </w:rPr>
        <w:t xml:space="preserve"> направить информационные письма министерству транспорта и дорожного хозяйства Сахалинской области, </w:t>
      </w:r>
      <w:r w:rsidRPr="00671D81">
        <w:rPr>
          <w:rFonts w:cs="Times New Roman"/>
          <w:sz w:val="26"/>
          <w:szCs w:val="26"/>
        </w:rPr>
        <w:t>Управлению по взаимодействию с правоохранительными органами Администрации Губернатора и Правительства Сахалинской области,</w:t>
      </w:r>
      <w:r w:rsidRPr="00671D81">
        <w:rPr>
          <w:rFonts w:eastAsia="Calibri" w:cs="Times New Roman"/>
          <w:sz w:val="26"/>
          <w:szCs w:val="26"/>
        </w:rPr>
        <w:t xml:space="preserve"> ГКУ СО </w:t>
      </w:r>
      <w:r w:rsidRPr="00671D81">
        <w:rPr>
          <w:rFonts w:eastAsia="Times New Roman" w:cs="Times New Roman"/>
          <w:sz w:val="26"/>
          <w:szCs w:val="26"/>
          <w:lang w:eastAsia="ru-RU"/>
        </w:rPr>
        <w:t>«Центр региональной цифровой трансформации»</w:t>
      </w:r>
      <w:r w:rsidRPr="00671D81">
        <w:rPr>
          <w:rFonts w:cs="Times New Roman"/>
          <w:sz w:val="26"/>
          <w:szCs w:val="26"/>
        </w:rPr>
        <w:t>.</w:t>
      </w:r>
      <w:r w:rsidRPr="00671D81">
        <w:rPr>
          <w:rFonts w:eastAsia="Calibri" w:cs="Times New Roman"/>
          <w:sz w:val="26"/>
          <w:szCs w:val="26"/>
        </w:rPr>
        <w:t xml:space="preserve"> </w:t>
      </w:r>
      <w:r w:rsidRPr="00671D81">
        <w:rPr>
          <w:sz w:val="26"/>
          <w:szCs w:val="26"/>
        </w:rPr>
        <w:t xml:space="preserve"> </w:t>
      </w:r>
    </w:p>
    <w:p w:rsidR="00074F30" w:rsidRPr="00074F30" w:rsidRDefault="00074F30" w:rsidP="00074F30">
      <w:pPr>
        <w:rPr>
          <w:rFonts w:eastAsia="Calibri" w:cs="Times New Roman"/>
          <w:szCs w:val="24"/>
        </w:rPr>
      </w:pPr>
    </w:p>
    <w:p w:rsidR="002038E8" w:rsidRPr="00581E09" w:rsidRDefault="002038E8" w:rsidP="002038E8">
      <w:pPr>
        <w:tabs>
          <w:tab w:val="left" w:pos="993"/>
          <w:tab w:val="left" w:pos="1603"/>
        </w:tabs>
        <w:autoSpaceDE w:val="0"/>
        <w:autoSpaceDN w:val="0"/>
        <w:adjustRightInd w:val="0"/>
        <w:contextualSpacing/>
        <w:rPr>
          <w:rFonts w:cs="Times New Roman"/>
          <w:bCs/>
          <w:szCs w:val="24"/>
        </w:rPr>
      </w:pPr>
    </w:p>
    <w:p w:rsidR="002038E8" w:rsidRDefault="002038E8" w:rsidP="002038E8">
      <w:pPr>
        <w:rPr>
          <w:rFonts w:eastAsia="Times New Roman" w:cs="Times New Roman"/>
          <w:szCs w:val="24"/>
        </w:rPr>
      </w:pPr>
    </w:p>
    <w:p w:rsidR="002038E8" w:rsidRDefault="002038E8" w:rsidP="002F57DA">
      <w:pPr>
        <w:rPr>
          <w:rFonts w:eastAsia="Times New Roman" w:cs="Times New Roman"/>
          <w:szCs w:val="24"/>
        </w:rPr>
      </w:pPr>
    </w:p>
    <w:p w:rsidR="0082479D" w:rsidRPr="0082479D" w:rsidRDefault="002038E8" w:rsidP="0082479D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</w:rPr>
        <w:t xml:space="preserve"> </w:t>
      </w:r>
    </w:p>
    <w:p w:rsidR="0082479D" w:rsidRPr="0082479D" w:rsidRDefault="0082479D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6D1DEB" w:rsidRPr="0082479D" w:rsidRDefault="006D1DEB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2B11AC" w:rsidRPr="0082479D" w:rsidRDefault="006D1DEB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6"/>
    <w:rsid w:val="00074F30"/>
    <w:rsid w:val="001701D7"/>
    <w:rsid w:val="002007A6"/>
    <w:rsid w:val="002038E8"/>
    <w:rsid w:val="00287A82"/>
    <w:rsid w:val="002B11AC"/>
    <w:rsid w:val="002F57DA"/>
    <w:rsid w:val="004A33E3"/>
    <w:rsid w:val="00553519"/>
    <w:rsid w:val="005707D5"/>
    <w:rsid w:val="005E4F34"/>
    <w:rsid w:val="00671D81"/>
    <w:rsid w:val="006A2E12"/>
    <w:rsid w:val="006D1DEB"/>
    <w:rsid w:val="007713B4"/>
    <w:rsid w:val="007B773A"/>
    <w:rsid w:val="007C4D7F"/>
    <w:rsid w:val="0082479D"/>
    <w:rsid w:val="008A2692"/>
    <w:rsid w:val="00915C16"/>
    <w:rsid w:val="00930568"/>
    <w:rsid w:val="00AB497B"/>
    <w:rsid w:val="00B832EE"/>
    <w:rsid w:val="00C1045B"/>
    <w:rsid w:val="00CB2173"/>
    <w:rsid w:val="00D13D95"/>
    <w:rsid w:val="00D57998"/>
    <w:rsid w:val="00D651A8"/>
    <w:rsid w:val="00E34721"/>
    <w:rsid w:val="00E82871"/>
    <w:rsid w:val="00F404B5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30B8-ECD5-4468-BB66-3E42336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ТЗ список,Абзац списка литеральный,Булет1,1Булет,it_List1,Paragraphe de liste1,lp1,Маркер,Bullet 1,Use Case List Paragraph,4.2.2,List Paragraph,Table-Normal,RSHB_Table-Normal,Заговок Марина,UL"/>
    <w:basedOn w:val="a"/>
    <w:link w:val="a4"/>
    <w:uiPriority w:val="34"/>
    <w:qFormat/>
    <w:rsid w:val="0055351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ТЗ список Знак,Абзац списка литеральный Знак,Булет1 Знак,1Булет Знак,it_List1 Знак,Paragraphe de liste1 Знак,lp1 Знак,Маркер Знак,Bullet 1 Знак,4.2.2 Знак,UL Знак"/>
    <w:link w:val="a3"/>
    <w:uiPriority w:val="34"/>
    <w:qFormat/>
    <w:locked/>
    <w:rsid w:val="00553519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0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3FAAEB42111F70A3E081428440A23C7CD757D70B24186FD35982E39FF883FAF36193D80B3D8C8B6F6DEB10A65B87C5693099838766C7768E5B0r0N3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3FAAEB42111F70A3E081428440A23C7CD757D70B24186FD35982E39FF883FAF36193D80B3D8C8B6F6DFB50A65B87C5693099838766C7768E5B0r0N3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3FAAEB42111F70A3E081428440A23C7CD757D70B24186FD35982E39FF883FAF36193D80B3D8C8B6F7D7B20A65B87C5693099838766C7768E5B0r0N3W" TargetMode="External"/><Relationship Id="rId11" Type="http://schemas.openxmlformats.org/officeDocument/2006/relationships/hyperlink" Target="consultantplus://offline/ref=4143FAAEB42111F70A3E081428440A23C7CD757D70B24186FD35982E39FF883FAF36193D80B3D8C9BAF5D9B50A65B87C5693099838766C7768E5B0r0N3W" TargetMode="External"/><Relationship Id="rId5" Type="http://schemas.openxmlformats.org/officeDocument/2006/relationships/hyperlink" Target="consultantplus://offline/ref=4143FAAEB42111F70A3E081428440A23C7CD757D70B24186FD35982E39FF883FAF36193D80B3D8C8B6F7D9B00A65B87C5693099838766C7768E5B0r0N3W" TargetMode="External"/><Relationship Id="rId10" Type="http://schemas.openxmlformats.org/officeDocument/2006/relationships/hyperlink" Target="consultantplus://offline/ref=4143FAAEB42111F70A3E081428440A23C7CD757D70B24186FD35982E39FF883FAF36193D80B3D8C8B6F7D6B20A65B87C5693099838766C7768E5B0r0N3W" TargetMode="External"/><Relationship Id="rId4" Type="http://schemas.openxmlformats.org/officeDocument/2006/relationships/hyperlink" Target="consultantplus://offline/ref=50B2DDEC2FD0B678B1A9E3EA906D273B7313DA69FAC67B2D14B3D834C2F3B9B54A216A174788914B8C032BABEB0375BBFE2C12FAC750D5A82EA6DDCEI15DA" TargetMode="External"/><Relationship Id="rId9" Type="http://schemas.openxmlformats.org/officeDocument/2006/relationships/hyperlink" Target="consultantplus://offline/ref=4143FAAEB42111F70A3E081428440A23C7CD757D70B24186FD35982E39FF883FAF36193D80B3D8C8B6F6DEBD0A65B87C5693099838766C7768E5B0r0N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2</cp:revision>
  <cp:lastPrinted>2023-03-17T03:54:00Z</cp:lastPrinted>
  <dcterms:created xsi:type="dcterms:W3CDTF">2023-03-17T03:59:00Z</dcterms:created>
  <dcterms:modified xsi:type="dcterms:W3CDTF">2023-03-17T03:59:00Z</dcterms:modified>
</cp:coreProperties>
</file>