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2AE" w:rsidRDefault="002577A1">
      <w:r>
        <w:t xml:space="preserve">В соответствии с </w:t>
      </w:r>
      <w:r w:rsidRPr="002577A1">
        <w:t xml:space="preserve">п. 18 плана работы контрольно-счетной палаты </w:t>
      </w:r>
      <w:r>
        <w:t xml:space="preserve">Сахалинской области на 2022 год в сентябре 2022 - январе 2023 года проведено контрольное мероприятие </w:t>
      </w:r>
      <w:r w:rsidRPr="002577A1">
        <w:t>«Проверка использования средств областного бюджета, направленных ОАУ СТК «Горный воздух» в рамках государственных программ Сахалинской области, и иных средств, за 2020, 2021 годы и истекший период 2022 года»</w:t>
      </w:r>
      <w:r>
        <w:t>, в ходе которой установлено следующее.</w:t>
      </w:r>
    </w:p>
    <w:p w:rsidR="002577A1" w:rsidRDefault="002577A1" w:rsidP="002577A1">
      <w:r w:rsidRPr="002577A1">
        <w:t>ОАУ «СТК «Горный воздух» в проверяемом периоде реализовал свою деятельность за счет трех источников: средс</w:t>
      </w:r>
      <w:r w:rsidR="00595A5D">
        <w:t>тва областного бюджета (субсидий</w:t>
      </w:r>
      <w:r w:rsidRPr="002577A1">
        <w:t xml:space="preserve"> на выполнение госзадания, на иные цели, на капитальные вложения, доходы от иной приносящей доход деятельности (платные услуги, пожертвования, целевые инвестиции третьих лиц).</w:t>
      </w:r>
      <w:r>
        <w:t xml:space="preserve"> </w:t>
      </w:r>
      <w:r w:rsidRPr="002577A1">
        <w:t xml:space="preserve">Средства областного бюджета предоставлялись по Подпрограмме № 1 «Развитие физической культуры и спорта в Сахалинской области» </w:t>
      </w:r>
      <w:r>
        <w:t>г</w:t>
      </w:r>
      <w:r w:rsidRPr="002577A1">
        <w:t>оспрограммы № 106 в основном в рамках мероприятий: 1.7 и 2.10 «Выполнение государственной работы «Обеспечение доступа к объектам спорта» (массовый спорт, спорт высших достижений), 5.1 «Оснащение учреждений подведомственных министерству спорта Сахалинской области с целью оказания государственных услуг (выполнения работ)», 6.1 «Строительство и реконструкция спортивных объектов и сооружений», 6.3 «Осуществление текущего и капитального ремонта, ограждение, благоустройство и расчистка территории бюджетных и автономных учреждений», 6.6 «Строительство инженерной и транспортной инфраструктуры ТОСЭР «Горный Воздух».</w:t>
      </w:r>
      <w:r>
        <w:t xml:space="preserve"> </w:t>
      </w:r>
    </w:p>
    <w:p w:rsidR="002577A1" w:rsidRPr="002577A1" w:rsidRDefault="002577A1" w:rsidP="002577A1">
      <w:r w:rsidRPr="002577A1">
        <w:t>Общий объем средств, полученных учреждением, составил 3091687,1 тыс. рублей, в том числе: 2020 год – 917047,8 тыс. рублей, 2021 год – 1511501,7 тыс. рублей, за 9 мес. 2022 года – 663137,6 тыс. рублей (при плане 1087410,1 тыс. рублей, повлияло исполнение по капвложениям 36,9 %). На доходы от поступлений из бюджета приходится 2482140,6 тыс. рублей или 69,7 % общего объема доходов, их них: госзадание – 1048376,5 тыс. рублей (42,2 %), капвложения – 1323672,2 тыс. рублей (53,3 %). Наблюдается прирост доли поступлений от платной деятельности в объеме поступлений: в 2020 году – 9,8 %, в 2021 году – 54,4 % (без учета средств АО «Корпорация развития Сахалинской области» – 14,4 %), на 01.10.2022 – 15,1 %.</w:t>
      </w:r>
    </w:p>
    <w:p w:rsidR="002577A1" w:rsidRPr="002577A1" w:rsidRDefault="002577A1" w:rsidP="002577A1">
      <w:r w:rsidRPr="002577A1">
        <w:t xml:space="preserve">Уставом предусмотрено предоставление платных услуг (работ) более чем по 50 видам приносящей доход деятельности, в числе которых: услуги канатных дорог спортивно-туристического комплекса «Горный воздух»; предоставление трасс, сноуборд парков, сооружений для фристайла для проведения тренировок, соревнований и других мероприятий; услуги по организации спортивных мероприятий различного вида на открытом воздухе или в закрытом помещении для профессионалов и любителей; оказание услуг по проведению физкультурных и спортивных мероприятий; оказание услуг спецтранспорта; аренда имущества; размещение визуально-информационных материалов (баннеров) и аудио – видео рекламы на территории автономного учреждения; изготовление и реализация информационной, рекламной и сувенирной продукции, символики и д.р. </w:t>
      </w:r>
    </w:p>
    <w:p w:rsidR="002577A1" w:rsidRDefault="002577A1" w:rsidP="002577A1">
      <w:r w:rsidRPr="002577A1">
        <w:t xml:space="preserve">В целях развития учреждения, в 2016 году разработана концепция комплексного развития СТК «Горный воздух», в рамках которой предусмотрено создание на базе существующего СТК «Горный Воздух» горнолыжного курорта с развитой туристической инфраструктурой, изменение текущего статуса комплекса, развитие и модернизация существующего горнолыжной составляющей курорта, отвечающего потребностям жителей региона в отдыхе и спорте, создание якорного туристического объекта. Концепцией предусмотрено развитие спортивного комплекса в 4 этапа (в том числе четвертый этап – 2020-2025 годы). Общая протяженность горнолыжных трасс после завершения 3-го этапа предусмотрена 90 км, после завершения этапа 4 – 130 км, из них протяженность трасс, оборудованных системой искусственного оснежения, должна составить 49 км, для этапа 4 – 77 км. Фактически протяженность горнолыжных трасс на текущую дату составила около 35 км. Количество канатных дорог и подъемников на курорте после завершения этапа 3 предполагает – 14 шт., количество подъемников после 4 этапа – 20 шт., фактически – 6 шт. </w:t>
      </w:r>
    </w:p>
    <w:p w:rsidR="002577A1" w:rsidRPr="002577A1" w:rsidRDefault="002577A1" w:rsidP="002577A1">
      <w:r w:rsidRPr="002577A1">
        <w:t>Таким образом, достижение плановых значений, предусмотренных концепцией развития, происходит с отставанием от графика. Вместе с тем, востребованность объектов спортивно-туристического комплекса по итогам 2022 года увеличилась на 66 % по отношению к 2020 году. Общее количество посещений составило: в 2020 году – 1194939, в 2021 году – 1420392, в 2022 году – 1984297, где на объем госзадания приходится ежегодно в среднем</w:t>
      </w:r>
      <w:r>
        <w:t xml:space="preserve"> </w:t>
      </w:r>
      <w:r w:rsidRPr="002577A1">
        <w:t>6,8 % от общего объема посещений.</w:t>
      </w:r>
    </w:p>
    <w:p w:rsidR="002577A1" w:rsidRPr="002577A1" w:rsidRDefault="002577A1" w:rsidP="002577A1">
      <w:r w:rsidRPr="002577A1">
        <w:t xml:space="preserve">Основная сумма расходов за счет субсидии на госзадание приходится на оплату труда и отчисления во внебюджетные фонды: 2020 году – 169313,8 тыс. рублей (48,3 %), 172722,7 тыс. рублей (50,5 %), за 9 месяцев 2022 года – 122726,1 тыс. рублей при плане 177374,7 тыс. рублей (45,2 %). На закупки товаров (работ, услуг) приходится в 2020 году – 22,6 %, в 2021 году – 6,7 %, в 2022 году – 10,4 %, из которых наибольший объем направлялся на коммунальные расходы, на </w:t>
      </w:r>
      <w:r w:rsidRPr="002577A1">
        <w:lastRenderedPageBreak/>
        <w:t xml:space="preserve">приобретение транспортных услуг, прочие услуги, расходы по содержанию имущества; на объем прочих расходов – в 2020 году – 23,1 %, в 2021 году – </w:t>
      </w:r>
      <w:r>
        <w:t xml:space="preserve"> </w:t>
      </w:r>
      <w:r w:rsidRPr="002577A1">
        <w:t>29 %, в 2022 году – 20 %; на материальны</w:t>
      </w:r>
      <w:r>
        <w:t>е</w:t>
      </w:r>
      <w:r w:rsidRPr="002577A1">
        <w:t xml:space="preserve"> запас</w:t>
      </w:r>
      <w:r>
        <w:t>ы</w:t>
      </w:r>
      <w:r w:rsidRPr="002577A1">
        <w:t xml:space="preserve">, в том числе ГСМ – в 2020 году – 5,2 %, в 2021 году – 8,9 %, в 2022 году – 15 %. </w:t>
      </w:r>
    </w:p>
    <w:p w:rsidR="002577A1" w:rsidRPr="002577A1" w:rsidRDefault="002577A1" w:rsidP="002577A1">
      <w:r w:rsidRPr="002577A1">
        <w:t xml:space="preserve">Государственное задание доведено в соответствии с Постановлением ПСО № 444 на выполнение 4-х госработ в 2020-2021 годах и 5-ти в 2022 году: «Участие в организации официальных спортивных мероприятий» всероссийские и международные; «Организация и проведение официальных спортивных мероприятий» региональные; «Обеспечение доступа к объектам спорта» (с 2022 года выделена в две госработы по категориям: лица спортивной школы по горнолыжному спорту и сноуборду и социальная категория граждан). </w:t>
      </w:r>
    </w:p>
    <w:p w:rsidR="002577A1" w:rsidRDefault="002577A1" w:rsidP="002577A1">
      <w:r w:rsidRPr="002577A1">
        <w:t xml:space="preserve">Числовые показатели государственного задания перевыполнены. </w:t>
      </w:r>
      <w:r w:rsidR="00716146">
        <w:t>С</w:t>
      </w:r>
      <w:r w:rsidRPr="002577A1">
        <w:t>огласно отчетам, в 2020 году количественные показатели объема госработы «Обеспечение доступа к объектам спорта» выполнены на 131,5 % по числу посетителей социальной группы населения в год (многодетные семьи (5 детей и более), инвалиды 1 и 2 группы, дети до 125 см) – 2630 человек при плане 2000; на 103,2 % – по числу проходов спортсменов ГАУ «СШОР по горнолыжному спорту и сноуборду» – 72216 человек при плане 70000. Отчетные данные размещены в сети «Интернет» на сайте bus.gov.ru.</w:t>
      </w:r>
      <w:r>
        <w:t xml:space="preserve"> </w:t>
      </w:r>
      <w:r w:rsidRPr="002577A1">
        <w:t>Учреждение участвовало в организации и (или) проведении официальных спортивных мероприятий: 11 – региональных; 1 – международного, 4 – всероссийских; в 2021 году: 14 – региональных; 1 – международного, 4 – всероссийских. По состоянию на 01.10.2022 проведено с участием учреждения: 14 – региональных, 5 всероссийских соревнований.</w:t>
      </w:r>
    </w:p>
    <w:p w:rsidR="00FC1307" w:rsidRDefault="00FC1307" w:rsidP="00FC1307">
      <w:r>
        <w:t xml:space="preserve">На финансирование капитальных вложений в проверяемом периоде учредению предоставлено в 2020 году – 470243,7 тыс. рублей (освоено – 210583,2 тыс. рублей), в 2021 году – 328574,6 тыс. рублей (освоено – 328574,6 тыс. рублей), в 2022 году на 01.10.2022 – 209692,7 тыс. рублей при плане по соглашению – 401696,7 тыс. рублей. </w:t>
      </w:r>
    </w:p>
    <w:p w:rsidR="00FC1307" w:rsidRDefault="00FC1307" w:rsidP="00FC1307">
      <w:r>
        <w:t>Капитальные вложения предоставлялись в рамках АИП по укрупненным мероприятиям, включающих объекты капстроительства. В проверяемом периоде осуществлялось строительство 33 объектов (включая переходящие объекты), входящих в 7 укрупненных мероприятий (в том числе объекты ТОСЭР – 17 ед.), из которых 17 объектов введены в эксплуатацию в 2020-2022 годах (2020 год – 13 объектов (в том числе 1 объект 2019 года) на сумму 1256246,6 тыс. рублей, из них 9 объектов ТОСЭР на сумму 881833,5 тыс. рублей, в 2021 году – введено в эксплуатацию 3 объекта на сумму 1030238,1 тыс. рублей, из них 2 объекта ТОСЭР – 997588,3 тыс. рублей, в 2022 году в веден в эксплуатацию 1 объект на сумму 40883,1 тыс. рублей (ТОСЭР).</w:t>
      </w:r>
    </w:p>
    <w:p w:rsidR="00FC1307" w:rsidRDefault="00FC1307" w:rsidP="00FC1307">
      <w:r>
        <w:t>Кроме того осуществлялось строительство комплекса «Пассажирская подвесная канатная дорога с 6-ти местными отцепляемыми креслами на горе Красная в г. Южно-Сахалинске» по Инвестиционному соглашению от 26.01.2017, заключенному между ОАУ «СТК «Горный воздух» и АО «Корпорация развития СО», который включал два объекта (Юг и Север), один из них (Север) в веден в эксплуатацию, оформлены доли участников на сумму 1041780,6 тыс. рублей.</w:t>
      </w:r>
    </w:p>
    <w:p w:rsidR="007075AC" w:rsidRDefault="00FC1307" w:rsidP="002577A1">
      <w:r>
        <w:t>Выборочной проверкой достоверности исполнения государственного задания, формирования расходов на оплату труда,</w:t>
      </w:r>
      <w:r w:rsidR="00297B6C">
        <w:t xml:space="preserve"> движения</w:t>
      </w:r>
      <w:r>
        <w:t xml:space="preserve"> </w:t>
      </w:r>
      <w:r w:rsidR="00297B6C">
        <w:t xml:space="preserve">топлива, </w:t>
      </w:r>
      <w:r>
        <w:t xml:space="preserve">приобретения имущества за счет средств </w:t>
      </w:r>
      <w:r w:rsidR="00297B6C">
        <w:t xml:space="preserve">субсидии на </w:t>
      </w:r>
      <w:r>
        <w:t>иные цели, формирования расходов на капитальные вложения, учета и движе</w:t>
      </w:r>
      <w:r w:rsidR="00E942C6">
        <w:t>ния государственного имущества,</w:t>
      </w:r>
      <w:r>
        <w:t xml:space="preserve"> установлен ряд нарушений. Так,</w:t>
      </w:r>
      <w:r w:rsidR="00297B6C">
        <w:t xml:space="preserve"> допущены </w:t>
      </w:r>
      <w:r w:rsidR="002577A1" w:rsidRPr="002577A1">
        <w:t>нарушения</w:t>
      </w:r>
      <w:r w:rsidR="002577A1">
        <w:t xml:space="preserve"> </w:t>
      </w:r>
      <w:r w:rsidR="002577A1" w:rsidRPr="002577A1">
        <w:t>при определении объема</w:t>
      </w:r>
      <w:r w:rsidR="002577A1">
        <w:t xml:space="preserve"> </w:t>
      </w:r>
      <w:r w:rsidR="002577A1" w:rsidRPr="002577A1">
        <w:t>финансового обеспечения и составления отчетности по выполнению гос</w:t>
      </w:r>
      <w:r w:rsidR="00297B6C">
        <w:t xml:space="preserve">ударственного </w:t>
      </w:r>
      <w:r w:rsidR="002577A1" w:rsidRPr="002577A1">
        <w:t>задания,</w:t>
      </w:r>
      <w:r w:rsidR="002577A1">
        <w:t xml:space="preserve"> что</w:t>
      </w:r>
      <w:r w:rsidR="002577A1" w:rsidRPr="002577A1">
        <w:t xml:space="preserve"> требу</w:t>
      </w:r>
      <w:r w:rsidR="002577A1">
        <w:t>ет у</w:t>
      </w:r>
      <w:r w:rsidR="002577A1" w:rsidRPr="002577A1">
        <w:t>силения контрол</w:t>
      </w:r>
      <w:r w:rsidR="002577A1">
        <w:t xml:space="preserve">я со стороны </w:t>
      </w:r>
      <w:r>
        <w:t xml:space="preserve">министерства спорта Сахалинской области, как </w:t>
      </w:r>
      <w:r w:rsidR="002577A1">
        <w:t>учредителя</w:t>
      </w:r>
      <w:r w:rsidR="007075AC">
        <w:t xml:space="preserve"> (по итогам проверки составлено два протокола об административных правонарушениях)</w:t>
      </w:r>
      <w:r w:rsidR="002577A1">
        <w:t>.</w:t>
      </w:r>
      <w:r>
        <w:t xml:space="preserve"> </w:t>
      </w:r>
      <w:r w:rsidR="00297B6C">
        <w:t>Не соблюдаются локальные акты в области документооборота между учреждением и централизованной бухгалтерией, отсутствует внутренний контроль, в результате имеют место: не</w:t>
      </w:r>
      <w:r w:rsidR="002577A1">
        <w:t>своевременнос</w:t>
      </w:r>
      <w:r w:rsidR="00297B6C">
        <w:t>ть</w:t>
      </w:r>
      <w:r w:rsidR="002577A1">
        <w:t xml:space="preserve"> </w:t>
      </w:r>
      <w:r w:rsidR="00297B6C">
        <w:t xml:space="preserve">отражения хозяйственных операций </w:t>
      </w:r>
      <w:r w:rsidR="00E942C6">
        <w:t>на счетах бухгалтерского учетах.</w:t>
      </w:r>
      <w:r w:rsidR="007075AC">
        <w:t xml:space="preserve"> Требуется </w:t>
      </w:r>
      <w:r w:rsidR="007075AC" w:rsidRPr="007075AC">
        <w:t>качественн</w:t>
      </w:r>
      <w:r w:rsidR="007075AC">
        <w:t xml:space="preserve">ая </w:t>
      </w:r>
      <w:r w:rsidR="007075AC" w:rsidRPr="007075AC">
        <w:t>инвентаризаци</w:t>
      </w:r>
      <w:r w:rsidR="007075AC">
        <w:t xml:space="preserve">я имущества и топлива, а также принятие </w:t>
      </w:r>
      <w:r w:rsidR="007075AC" w:rsidRPr="007075AC">
        <w:t>своевременны</w:t>
      </w:r>
      <w:r w:rsidR="007075AC">
        <w:t>х</w:t>
      </w:r>
      <w:r w:rsidR="007075AC" w:rsidRPr="007075AC">
        <w:t xml:space="preserve"> и исчерпывающи</w:t>
      </w:r>
      <w:r w:rsidR="007075AC">
        <w:t>х</w:t>
      </w:r>
      <w:r w:rsidR="007075AC" w:rsidRPr="007075AC">
        <w:t xml:space="preserve"> ме</w:t>
      </w:r>
      <w:r w:rsidR="007075AC">
        <w:t>р</w:t>
      </w:r>
      <w:r w:rsidR="007075AC" w:rsidRPr="007075AC">
        <w:t>, направленны</w:t>
      </w:r>
      <w:r w:rsidR="007075AC">
        <w:t>х</w:t>
      </w:r>
      <w:r w:rsidR="007075AC" w:rsidRPr="007075AC">
        <w:t xml:space="preserve"> на сокращение стоимости затрат по объектам </w:t>
      </w:r>
      <w:r w:rsidR="007075AC">
        <w:t>«</w:t>
      </w:r>
      <w:r w:rsidR="007075AC" w:rsidRPr="007075AC">
        <w:t xml:space="preserve">незавершенных строительством», </w:t>
      </w:r>
      <w:r w:rsidR="00A849F8">
        <w:t xml:space="preserve">в целях </w:t>
      </w:r>
      <w:r w:rsidR="007075AC" w:rsidRPr="007075AC">
        <w:t>обеспеч</w:t>
      </w:r>
      <w:r w:rsidR="00A849F8">
        <w:t xml:space="preserve">ения </w:t>
      </w:r>
      <w:r w:rsidR="007075AC" w:rsidRPr="007075AC">
        <w:t>достоверност</w:t>
      </w:r>
      <w:r w:rsidR="00A849F8">
        <w:t>и</w:t>
      </w:r>
      <w:r w:rsidR="007075AC" w:rsidRPr="007075AC">
        <w:t xml:space="preserve"> бухгалтерских данных и полнот</w:t>
      </w:r>
      <w:r w:rsidR="00A849F8">
        <w:t>ы</w:t>
      </w:r>
      <w:r w:rsidR="007075AC" w:rsidRPr="007075AC">
        <w:t xml:space="preserve"> первоначальной стоимости объектов.</w:t>
      </w:r>
      <w:r w:rsidR="002577A1">
        <w:t xml:space="preserve"> </w:t>
      </w:r>
      <w:r w:rsidR="00A849F8">
        <w:t>Требуется разработка самостоятельного нормативного правового акта по оплате труда работников учреждения.</w:t>
      </w:r>
    </w:p>
    <w:p w:rsidR="007075AC" w:rsidRDefault="005937A7" w:rsidP="002577A1">
      <w:r>
        <w:t>К</w:t>
      </w:r>
      <w:r w:rsidRPr="005937A7">
        <w:t>оллеги</w:t>
      </w:r>
      <w:r>
        <w:t>ей</w:t>
      </w:r>
      <w:r w:rsidRPr="005937A7">
        <w:t xml:space="preserve"> контрольно-счетно</w:t>
      </w:r>
      <w:r>
        <w:t xml:space="preserve">й палаты Сахалинской области, рассмотрев </w:t>
      </w:r>
      <w:r w:rsidRPr="005937A7">
        <w:t xml:space="preserve">26.01.2023 </w:t>
      </w:r>
      <w:r w:rsidR="007075AC">
        <w:t>итог</w:t>
      </w:r>
      <w:r>
        <w:t>и</w:t>
      </w:r>
      <w:r w:rsidR="007075AC">
        <w:t xml:space="preserve"> контрольного мероприятия</w:t>
      </w:r>
      <w:r>
        <w:t xml:space="preserve">, принято решение о направлении представлений </w:t>
      </w:r>
      <w:r w:rsidR="007075AC">
        <w:t>в министерство спорта Сахалинской области и ОАУ «СТК «Горный воздух»,  информационны</w:t>
      </w:r>
      <w:r>
        <w:t>х</w:t>
      </w:r>
      <w:r w:rsidR="007075AC">
        <w:t xml:space="preserve"> пис</w:t>
      </w:r>
      <w:r>
        <w:t>ем</w:t>
      </w:r>
      <w:bookmarkStart w:id="0" w:name="_GoBack"/>
      <w:bookmarkEnd w:id="0"/>
      <w:r w:rsidR="007075AC">
        <w:t xml:space="preserve"> – в министерство имущества и земельных отношений Сахалинской области, ГКУ «Централизованная бухгалтерия спорта». Копия отчета о результатах контрольного мероприятия направлена в адрес Сахалинской областной Думы,  Губернатора Сахалинской области, а также в Прокуратуру Сахалинской области.  </w:t>
      </w:r>
    </w:p>
    <w:sectPr w:rsidR="007075AC" w:rsidSect="007075AC">
      <w:pgSz w:w="11906" w:h="16838" w:code="9"/>
      <w:pgMar w:top="568" w:right="567" w:bottom="426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abstractNum w:abstractNumId="1" w15:restartNumberingAfterBreak="0">
    <w:nsid w:val="775C57EE"/>
    <w:multiLevelType w:val="multilevel"/>
    <w:tmpl w:val="0B923682"/>
    <w:lvl w:ilvl="0">
      <w:start w:val="1"/>
      <w:numFmt w:val="decimal"/>
      <w:lvlText w:val="%1."/>
      <w:lvlJc w:val="left"/>
      <w:pPr>
        <w:ind w:left="167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6" w:hanging="1236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946" w:hanging="1236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945" w:hanging="1236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945" w:hanging="1236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45" w:hanging="1236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AB"/>
    <w:rsid w:val="001F0175"/>
    <w:rsid w:val="002577A1"/>
    <w:rsid w:val="00297B6C"/>
    <w:rsid w:val="00543EE1"/>
    <w:rsid w:val="005937A7"/>
    <w:rsid w:val="00595A5D"/>
    <w:rsid w:val="00615F28"/>
    <w:rsid w:val="007075AC"/>
    <w:rsid w:val="00716146"/>
    <w:rsid w:val="00743EA8"/>
    <w:rsid w:val="007617CF"/>
    <w:rsid w:val="007B3D49"/>
    <w:rsid w:val="00856358"/>
    <w:rsid w:val="00915F23"/>
    <w:rsid w:val="009635F0"/>
    <w:rsid w:val="009B4AF4"/>
    <w:rsid w:val="00A849F8"/>
    <w:rsid w:val="00B570AB"/>
    <w:rsid w:val="00B762AE"/>
    <w:rsid w:val="00C167B0"/>
    <w:rsid w:val="00D26074"/>
    <w:rsid w:val="00E942C6"/>
    <w:rsid w:val="00ED12FC"/>
    <w:rsid w:val="00FC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6472C-654E-4C77-B143-6216D19D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7075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Гвак Евгения Михайловна</cp:lastModifiedBy>
  <cp:revision>4</cp:revision>
  <cp:lastPrinted>2023-01-31T03:46:00Z</cp:lastPrinted>
  <dcterms:created xsi:type="dcterms:W3CDTF">2023-01-31T03:46:00Z</dcterms:created>
  <dcterms:modified xsi:type="dcterms:W3CDTF">2023-02-01T01:14:00Z</dcterms:modified>
</cp:coreProperties>
</file>