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2F" w:rsidRPr="0079072F" w:rsidRDefault="0079072F" w:rsidP="0079072F">
      <w:pPr>
        <w:spacing w:after="0" w:line="240" w:lineRule="auto"/>
        <w:ind w:firstLine="567"/>
        <w:jc w:val="both"/>
        <w:rPr>
          <w:rFonts w:ascii="Times New Roman" w:eastAsia="Times New Roman" w:hAnsi="Times New Roman" w:cs="Times New Roman"/>
          <w:color w:val="000000"/>
          <w:sz w:val="26"/>
          <w:szCs w:val="26"/>
          <w:lang w:eastAsia="ru-RU"/>
        </w:rPr>
      </w:pPr>
      <w:r w:rsidRPr="0079072F">
        <w:rPr>
          <w:rFonts w:ascii="Times New Roman" w:eastAsia="Times New Roman" w:hAnsi="Times New Roman" w:cs="Times New Roman"/>
          <w:color w:val="000000"/>
          <w:sz w:val="26"/>
          <w:szCs w:val="26"/>
          <w:lang w:eastAsia="ru-RU"/>
        </w:rPr>
        <w:t xml:space="preserve">В соответствии с п. 12 плана работы КСП на 2019 год в октябре-декабре 2019 года проведено контрольное мероприятие «Проверка использования средств областного бюджета, направленных на реализацию отдельных мероприятий подпрограммы «Газификация Сахалинской области» государственной программы Сахалинской области «Развитие энергетики Сахалинской области до 2020 года», за 2017,2018 годы и истекший период 2019 года» по результатам которого в адрес </w:t>
      </w:r>
      <w:r w:rsidRPr="0079072F">
        <w:rPr>
          <w:rFonts w:ascii="Times New Roman" w:eastAsia="SimSun" w:hAnsi="Times New Roman" w:cs="Times New Roman"/>
          <w:sz w:val="26"/>
          <w:szCs w:val="26"/>
          <w:lang w:eastAsia="zh-CN"/>
        </w:rPr>
        <w:t xml:space="preserve">министерства природных ресурсов и охраны окружающей среды Сахалинской области (реорганизовано в министерство экологии Сахалинской области (далее - </w:t>
      </w:r>
      <w:proofErr w:type="spellStart"/>
      <w:r w:rsidRPr="0079072F">
        <w:rPr>
          <w:rFonts w:ascii="Times New Roman" w:eastAsia="SimSun" w:hAnsi="Times New Roman" w:cs="Times New Roman"/>
          <w:sz w:val="26"/>
          <w:szCs w:val="26"/>
          <w:lang w:eastAsia="zh-CN"/>
        </w:rPr>
        <w:t>Минэкология</w:t>
      </w:r>
      <w:proofErr w:type="spellEnd"/>
      <w:r w:rsidRPr="0079072F">
        <w:rPr>
          <w:rFonts w:ascii="Times New Roman" w:eastAsia="SimSun" w:hAnsi="Times New Roman" w:cs="Times New Roman"/>
          <w:sz w:val="26"/>
          <w:szCs w:val="26"/>
          <w:lang w:eastAsia="zh-CN"/>
        </w:rPr>
        <w:t xml:space="preserve">) направлено представление от 28.12.2019. </w:t>
      </w:r>
    </w:p>
    <w:p w:rsidR="0079072F" w:rsidRPr="0079072F" w:rsidRDefault="0079072F" w:rsidP="0079072F">
      <w:pPr>
        <w:tabs>
          <w:tab w:val="left" w:pos="567"/>
        </w:tabs>
        <w:spacing w:after="0" w:line="240" w:lineRule="auto"/>
        <w:ind w:right="-27" w:firstLine="709"/>
        <w:jc w:val="both"/>
        <w:rPr>
          <w:rFonts w:ascii="Times New Roman" w:eastAsia="Times New Roman" w:hAnsi="Times New Roman" w:cs="Times New Roman"/>
          <w:color w:val="000000"/>
          <w:sz w:val="26"/>
          <w:szCs w:val="26"/>
          <w:lang w:eastAsia="ru-RU"/>
        </w:rPr>
      </w:pPr>
      <w:r w:rsidRPr="0079072F">
        <w:rPr>
          <w:rFonts w:ascii="Times New Roman" w:eastAsia="Times New Roman" w:hAnsi="Times New Roman" w:cs="Times New Roman"/>
          <w:color w:val="000000"/>
          <w:sz w:val="26"/>
          <w:szCs w:val="26"/>
          <w:lang w:eastAsia="ru-RU"/>
        </w:rPr>
        <w:t>По п. 1. Произведена выверка произведенных затрат, а также определены остатки неиспользованных бюджетных инвестиций по каждому из договоров об участии Сахалинской области в собственности субъекта инвестиций, заключенных министерством природных ресурсов и охраны окружающей среды Сахалинской области с АО «СНК»; конкретизированы объекты по бюджетным инвестициям, выделенным АО «СНК» за период с 2016 по 2019 год в разрезе направлений строительства и реконструкции; проведена сверка данных, отраженных в учете АО «СНК» и Министерства, подписаны акты сверок.</w:t>
      </w:r>
    </w:p>
    <w:p w:rsidR="0079072F" w:rsidRPr="0079072F" w:rsidRDefault="0079072F" w:rsidP="0079072F">
      <w:pPr>
        <w:tabs>
          <w:tab w:val="left" w:pos="567"/>
        </w:tabs>
        <w:spacing w:after="0" w:line="240" w:lineRule="auto"/>
        <w:ind w:right="-27" w:firstLine="709"/>
        <w:jc w:val="both"/>
        <w:rPr>
          <w:rFonts w:ascii="Times New Roman" w:eastAsia="Times New Roman" w:hAnsi="Times New Roman" w:cs="Times New Roman"/>
          <w:color w:val="000000"/>
          <w:sz w:val="26"/>
          <w:szCs w:val="26"/>
          <w:lang w:eastAsia="ru-RU"/>
        </w:rPr>
      </w:pPr>
      <w:r w:rsidRPr="0079072F">
        <w:rPr>
          <w:rFonts w:ascii="Times New Roman" w:eastAsia="Times New Roman" w:hAnsi="Times New Roman" w:cs="Times New Roman"/>
          <w:color w:val="000000"/>
          <w:sz w:val="26"/>
          <w:szCs w:val="26"/>
          <w:lang w:eastAsia="ru-RU"/>
        </w:rPr>
        <w:t>По п. 2. В рамках ведения забалансового счета 42 «Бюджетные инвестиции, реализуемые организациями» Министерством отражено выбытие показателей объемов произведенных вложений (объемов капитальных вложений/выполненных работ), в связи с окончанием работ и введением в эксплуатацию объектов капитальных вложений; в учете восстановлен аналитический учет по счету в разрезе соответствующих целей бюджетных инвестиций (строительство, реконструкция) и объектов капитальных вложений.</w:t>
      </w:r>
    </w:p>
    <w:p w:rsidR="0079072F" w:rsidRPr="0079072F" w:rsidRDefault="0079072F" w:rsidP="0079072F">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79072F">
        <w:rPr>
          <w:rFonts w:ascii="Times New Roman" w:eastAsia="Times New Roman" w:hAnsi="Times New Roman" w:cs="Times New Roman"/>
          <w:color w:val="000000"/>
          <w:sz w:val="26"/>
          <w:szCs w:val="26"/>
          <w:lang w:eastAsia="ru-RU"/>
        </w:rPr>
        <w:t>Проведена сверка данных между Министерством экологии Сахалинской области, Министерством энергетики Сахалинской области, АО «СНК». Министерством энергетики Сахалинской области подготовлено Соглашение о замене стороны по договорам об участии Сахалинской области в собственности субъекта инвестиций с АО «Сахалинская нефтяная компания» о передаче министерством экологии Сахалинской области министерству энергетики Сахалинской области неисполненных прав и обязательств Сахалинской области, в том числе по осуществлению контроля за целевым использованием АО «СНК» бюджетных инвестиций, предоставленных ему за счет средств бюджета Сахалинской области.</w:t>
      </w:r>
    </w:p>
    <w:p w:rsidR="0079072F" w:rsidRPr="0079072F" w:rsidRDefault="0079072F" w:rsidP="0079072F">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79072F">
        <w:rPr>
          <w:rFonts w:ascii="Times New Roman" w:eastAsia="SimSun" w:hAnsi="Times New Roman" w:cs="Times New Roman"/>
          <w:sz w:val="26"/>
          <w:szCs w:val="26"/>
          <w:lang w:eastAsia="zh-CN"/>
        </w:rPr>
        <w:t xml:space="preserve">В целях учета бюджетных инвестиций АО «СНК» издан приказ, в соответствии с которым ежемесячно будет проводиться анализ и учет поступлений, расходований и остатков бюджетных инвестиций (п. 3). Информация о фактическом достижении индикатора «Добыча газа», применяемого для мероприятия «Осуществление мер по развитию </w:t>
      </w:r>
      <w:proofErr w:type="spellStart"/>
      <w:r w:rsidRPr="0079072F">
        <w:rPr>
          <w:rFonts w:ascii="Times New Roman" w:eastAsia="SimSun" w:hAnsi="Times New Roman" w:cs="Times New Roman"/>
          <w:sz w:val="26"/>
          <w:szCs w:val="26"/>
          <w:lang w:eastAsia="zh-CN"/>
        </w:rPr>
        <w:t>Анивских</w:t>
      </w:r>
      <w:proofErr w:type="spellEnd"/>
      <w:r w:rsidRPr="0079072F">
        <w:rPr>
          <w:rFonts w:ascii="Times New Roman" w:eastAsia="SimSun" w:hAnsi="Times New Roman" w:cs="Times New Roman"/>
          <w:sz w:val="26"/>
          <w:szCs w:val="26"/>
          <w:lang w:eastAsia="zh-CN"/>
        </w:rPr>
        <w:t xml:space="preserve"> газовых месторождений» представлена в полном объеме (п. 4). </w:t>
      </w:r>
    </w:p>
    <w:p w:rsidR="0079072F" w:rsidRPr="0079072F" w:rsidRDefault="0079072F" w:rsidP="0079072F">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79072F">
        <w:rPr>
          <w:rFonts w:ascii="Times New Roman" w:eastAsia="SimSun" w:hAnsi="Times New Roman" w:cs="Times New Roman"/>
          <w:sz w:val="26"/>
          <w:szCs w:val="26"/>
          <w:lang w:eastAsia="zh-CN"/>
        </w:rPr>
        <w:t xml:space="preserve">Снят с реализации п. 5 по внесению дополнений в </w:t>
      </w:r>
      <w:proofErr w:type="spellStart"/>
      <w:r w:rsidRPr="0079072F">
        <w:rPr>
          <w:rFonts w:ascii="Times New Roman" w:eastAsia="SimSun" w:hAnsi="Times New Roman" w:cs="Times New Roman"/>
          <w:sz w:val="26"/>
          <w:szCs w:val="26"/>
          <w:lang w:eastAsia="zh-CN"/>
        </w:rPr>
        <w:t>инвестдоговоры</w:t>
      </w:r>
      <w:proofErr w:type="spellEnd"/>
      <w:r w:rsidRPr="0079072F">
        <w:rPr>
          <w:rFonts w:ascii="Times New Roman" w:eastAsia="SimSun" w:hAnsi="Times New Roman" w:cs="Times New Roman"/>
          <w:sz w:val="26"/>
          <w:szCs w:val="26"/>
          <w:lang w:eastAsia="zh-CN"/>
        </w:rPr>
        <w:t xml:space="preserve"> с АО «Сахалинская нефтяная компания» в части установления мер ответственности юридического лица за недостижение показателя результативности предоставления бюджетных инвестиций, в связи с передачей полномочий по выработке и реализации региональной государственной политики, и правовому регулированию в нефтегазовой отрасли Минэнерго области на основании постановления ПСО от 07.04.2020 № 168.</w:t>
      </w:r>
    </w:p>
    <w:p w:rsidR="0079072F" w:rsidRPr="0079072F" w:rsidRDefault="0079072F" w:rsidP="0079072F">
      <w:pPr>
        <w:spacing w:after="0" w:line="240" w:lineRule="auto"/>
        <w:ind w:firstLine="567"/>
        <w:jc w:val="both"/>
        <w:rPr>
          <w:rFonts w:ascii="Times New Roman" w:eastAsia="SimSun" w:hAnsi="Times New Roman" w:cs="Times New Roman"/>
          <w:sz w:val="26"/>
          <w:szCs w:val="26"/>
          <w:lang w:eastAsia="zh-CN"/>
        </w:rPr>
      </w:pPr>
      <w:r w:rsidRPr="0079072F">
        <w:rPr>
          <w:rFonts w:ascii="Times New Roman" w:eastAsia="SimSun" w:hAnsi="Times New Roman" w:cs="Times New Roman"/>
          <w:sz w:val="26"/>
          <w:szCs w:val="26"/>
          <w:lang w:eastAsia="zh-CN"/>
        </w:rPr>
        <w:t xml:space="preserve">Пункты 6, 7 потеряли актуальность в связи с изданием постановлений Правительства Сахалинской области, согласно которым Порядок оценки эффективности использования бюджетных инвестиций, направляемых в форме капитальных вложений (утв. постановлением Правительства Сахалинской области от 19.04.2011 № 136) и Порядок формирования и реализации адресной инвестиционной программы Сахалинской области (утв. постановлением Правительства Сахалинской области от 26.05.2014 № 245) утратили силу. </w:t>
      </w:r>
    </w:p>
    <w:p w:rsidR="0079072F" w:rsidRPr="0079072F" w:rsidRDefault="0079072F" w:rsidP="0079072F">
      <w:pPr>
        <w:tabs>
          <w:tab w:val="left" w:pos="567"/>
        </w:tabs>
        <w:spacing w:after="0" w:line="240" w:lineRule="auto"/>
        <w:ind w:right="-27" w:firstLine="709"/>
        <w:jc w:val="both"/>
        <w:rPr>
          <w:rFonts w:ascii="Times New Roman" w:eastAsia="SimSun" w:hAnsi="Times New Roman" w:cs="Times New Roman"/>
          <w:sz w:val="26"/>
          <w:szCs w:val="26"/>
          <w:lang w:eastAsia="zh-CN"/>
        </w:rPr>
      </w:pPr>
      <w:r w:rsidRPr="0079072F">
        <w:rPr>
          <w:rFonts w:ascii="Times New Roman" w:eastAsia="SimSun" w:hAnsi="Times New Roman" w:cs="Times New Roman"/>
          <w:sz w:val="26"/>
          <w:szCs w:val="26"/>
          <w:lang w:eastAsia="zh-CN"/>
        </w:rPr>
        <w:t xml:space="preserve">Коллегией контрольно-счетной палаты Сахалинской области от </w:t>
      </w:r>
      <w:r w:rsidR="009D0014">
        <w:rPr>
          <w:rFonts w:ascii="Times New Roman" w:eastAsia="SimSun" w:hAnsi="Times New Roman" w:cs="Times New Roman"/>
          <w:sz w:val="26"/>
          <w:szCs w:val="26"/>
          <w:lang w:eastAsia="zh-CN"/>
        </w:rPr>
        <w:t>19</w:t>
      </w:r>
      <w:bookmarkStart w:id="0" w:name="_GoBack"/>
      <w:bookmarkEnd w:id="0"/>
      <w:r>
        <w:rPr>
          <w:rFonts w:ascii="Times New Roman" w:eastAsia="SimSun" w:hAnsi="Times New Roman" w:cs="Times New Roman"/>
          <w:sz w:val="26"/>
          <w:szCs w:val="26"/>
          <w:lang w:eastAsia="zh-CN"/>
        </w:rPr>
        <w:t>.10</w:t>
      </w:r>
      <w:r w:rsidRPr="0079072F">
        <w:rPr>
          <w:rFonts w:ascii="Times New Roman" w:eastAsia="SimSun" w:hAnsi="Times New Roman" w:cs="Times New Roman"/>
          <w:sz w:val="26"/>
          <w:szCs w:val="26"/>
          <w:lang w:eastAsia="zh-CN"/>
        </w:rPr>
        <w:t xml:space="preserve">.2020 принято решение о </w:t>
      </w:r>
      <w:r>
        <w:rPr>
          <w:rFonts w:ascii="Times New Roman" w:eastAsia="SimSun" w:hAnsi="Times New Roman" w:cs="Times New Roman"/>
          <w:sz w:val="26"/>
          <w:szCs w:val="26"/>
          <w:lang w:eastAsia="zh-CN"/>
        </w:rPr>
        <w:t>снятии</w:t>
      </w:r>
      <w:r w:rsidRPr="0079072F">
        <w:rPr>
          <w:rFonts w:ascii="Times New Roman" w:eastAsia="SimSun" w:hAnsi="Times New Roman" w:cs="Times New Roman"/>
          <w:sz w:val="26"/>
          <w:szCs w:val="26"/>
          <w:lang w:eastAsia="zh-CN"/>
        </w:rPr>
        <w:t xml:space="preserve"> представления Минэкологии </w:t>
      </w:r>
      <w:r>
        <w:rPr>
          <w:rFonts w:ascii="Times New Roman" w:eastAsia="SimSun" w:hAnsi="Times New Roman" w:cs="Times New Roman"/>
          <w:sz w:val="26"/>
          <w:szCs w:val="26"/>
          <w:lang w:eastAsia="zh-CN"/>
        </w:rPr>
        <w:t>с контроля как исполненное.</w:t>
      </w:r>
    </w:p>
    <w:p w:rsidR="0079072F" w:rsidRPr="0079072F" w:rsidRDefault="0079072F" w:rsidP="0079072F">
      <w:pPr>
        <w:spacing w:after="200" w:line="276" w:lineRule="auto"/>
        <w:rPr>
          <w:rFonts w:ascii="Calibri" w:eastAsia="Calibri" w:hAnsi="Calibri" w:cs="Times New Roman"/>
          <w:sz w:val="26"/>
          <w:szCs w:val="26"/>
        </w:rPr>
      </w:pPr>
    </w:p>
    <w:p w:rsidR="003E7BF1" w:rsidRDefault="003E7BF1"/>
    <w:sectPr w:rsidR="003E7BF1" w:rsidSect="00A90420">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2F"/>
    <w:rsid w:val="000C0DB3"/>
    <w:rsid w:val="00132723"/>
    <w:rsid w:val="003E7BF1"/>
    <w:rsid w:val="0079072F"/>
    <w:rsid w:val="00885D4B"/>
    <w:rsid w:val="009D0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Волык Александр Владимирович</dc:creator>
  <cp:keywords/>
  <dc:description/>
  <cp:lastModifiedBy>Харченко Татьяна Ринатовна</cp:lastModifiedBy>
  <cp:revision>2</cp:revision>
  <dcterms:created xsi:type="dcterms:W3CDTF">2020-10-12T22:44:00Z</dcterms:created>
  <dcterms:modified xsi:type="dcterms:W3CDTF">2020-10-16T03:55:00Z</dcterms:modified>
</cp:coreProperties>
</file>