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8808BB" w:rsidRPr="00FE6DA3" w:rsidRDefault="00387360" w:rsidP="00FE6DA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98F21" wp14:editId="7514B28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231E6" wp14:editId="73110F6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E6DA3" w:rsidRPr="00E60B82" w:rsidRDefault="00FE6DA3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6DA3" w:rsidRPr="009972FE" w:rsidRDefault="00FE6DA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300238" w:rsidRDefault="00047B63" w:rsidP="00E60B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61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4F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C61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1B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0154" w:rsidRPr="000F56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5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3B04">
        <w:rPr>
          <w:rFonts w:ascii="Times New Roman" w:eastAsia="Times New Roman" w:hAnsi="Times New Roman" w:cs="Times New Roman"/>
          <w:sz w:val="28"/>
          <w:szCs w:val="28"/>
        </w:rPr>
        <w:t>1.1</w:t>
      </w:r>
      <w:bookmarkStart w:id="0" w:name="_GoBack"/>
      <w:bookmarkEnd w:id="0"/>
      <w:r w:rsidR="00A5150B">
        <w:rPr>
          <w:rFonts w:ascii="Times New Roman" w:eastAsia="Times New Roman" w:hAnsi="Times New Roman" w:cs="Times New Roman"/>
          <w:sz w:val="28"/>
          <w:szCs w:val="28"/>
        </w:rPr>
        <w:t>-3658</w:t>
      </w:r>
    </w:p>
    <w:p w:rsidR="00E60B82" w:rsidRDefault="00E60B82" w:rsidP="00E6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7E5D3A" w:rsidRDefault="007E5D3A" w:rsidP="006C6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6C614F" w:rsidRDefault="006C614F" w:rsidP="006C61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уточнение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расходов областного бюджета по отдельным разделам, подразделам, целевым статьям и видам расходов бюджетной классификации областного бюджета в пределах общего объема расходов.</w:t>
      </w:r>
    </w:p>
    <w:p w:rsidR="006C614F" w:rsidRPr="006C614F" w:rsidRDefault="006C614F" w:rsidP="006C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C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не изменяется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122150056,5 тыс. рублей.</w:t>
      </w:r>
    </w:p>
    <w:p w:rsidR="006C614F" w:rsidRDefault="00437707" w:rsidP="006C614F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437707" w:rsidRPr="00A8107A" w:rsidRDefault="006C614F" w:rsidP="006C614F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6C614F" w:rsidRPr="00A8107A" w:rsidRDefault="00437707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E60B82">
        <w:trPr>
          <w:cantSplit/>
          <w:trHeight w:val="79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8242A" w:rsidRPr="00A8107A" w:rsidTr="00513E78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122 150 056,5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61498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</w:t>
            </w:r>
            <w:r w:rsidR="006E71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150</w:t>
            </w:r>
            <w:r w:rsidR="006E71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056,5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0,0</w:t>
            </w:r>
          </w:p>
        </w:tc>
      </w:tr>
      <w:tr w:rsidR="0058242A" w:rsidRPr="00A8107A" w:rsidTr="00513E78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13E78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4 498 749,3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Pr="00561498" w:rsidRDefault="00561498" w:rsidP="00513E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42A" w:rsidRPr="00561498" w:rsidRDefault="00561498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6C614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221 243,3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Default="00561498" w:rsidP="00513E78">
            <w:pPr>
              <w:jc w:val="right"/>
              <w:rPr>
                <w:color w:val="000000"/>
              </w:rPr>
            </w:pPr>
          </w:p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-277 506,0</w:t>
            </w:r>
          </w:p>
        </w:tc>
      </w:tr>
      <w:tr w:rsidR="0058242A" w:rsidRPr="00A8107A" w:rsidTr="00513E78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-0,2</w:t>
            </w:r>
          </w:p>
        </w:tc>
      </w:tr>
      <w:tr w:rsidR="0058242A" w:rsidRPr="00A8107A" w:rsidTr="00513E78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2 635 899,4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6C614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913 405,4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277 506,0</w:t>
            </w:r>
          </w:p>
        </w:tc>
      </w:tr>
      <w:tr w:rsidR="0058242A" w:rsidRPr="00A8107A" w:rsidTr="00513E78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0,2</w:t>
            </w:r>
          </w:p>
        </w:tc>
      </w:tr>
      <w:tr w:rsidR="0058242A" w:rsidRPr="00A8107A" w:rsidTr="00513E78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60B8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</w:t>
            </w:r>
            <w:proofErr w:type="gramStart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proofErr w:type="gramEnd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с</w:t>
            </w:r>
            <w:proofErr w:type="gramEnd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94F9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61 167 049,6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94F9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61 444 555,6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94F9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277 506,0</w:t>
            </w:r>
          </w:p>
        </w:tc>
      </w:tr>
      <w:tr w:rsidR="0058242A" w:rsidRPr="00A8107A" w:rsidTr="00513E78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94F9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94F9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13E78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0,0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том, 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что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уменьшение бюджетных ассигнований по разделу 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«Общегосударственные вопросы» на сумму 277506,0 тыс. рублей и увеличение на указанную сумму раздела «Культура, кинематография».</w:t>
      </w:r>
    </w:p>
    <w:p w:rsidR="00026CB8" w:rsidRPr="006F2610" w:rsidRDefault="00887AEE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Таким образом, р</w:t>
      </w:r>
      <w:r w:rsidR="00437707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асходы на социально-культурную сферу в целом составят 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444555,6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="00437707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доля расходов на социально-культурную сферу в общей сумме расходов 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величи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тся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процентны</w:t>
      </w:r>
      <w:r w:rsidR="00BF10F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</w:t>
      </w:r>
      <w:r w:rsidR="00BF10F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составит 50,3 %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6E4D8F" w:rsidRPr="00A07CB2" w:rsidRDefault="0099540A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FB51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</w:t>
      </w:r>
      <w:r w:rsidR="00600690" w:rsidRPr="00FB51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: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701"/>
        <w:gridCol w:w="1764"/>
        <w:gridCol w:w="1356"/>
        <w:gridCol w:w="991"/>
      </w:tblGrid>
      <w:tr w:rsidR="0099540A" w:rsidRPr="006F2610" w:rsidTr="00513E78">
        <w:trPr>
          <w:cantSplit/>
          <w:trHeight w:val="376"/>
          <w:tblHeader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513E78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513E78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Код</w:t>
            </w:r>
          </w:p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513E78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9540A" w:rsidRPr="00513E78" w:rsidRDefault="0099540A" w:rsidP="00E60B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Утверждено на</w:t>
            </w:r>
            <w:r w:rsidR="00CE3892" w:rsidRPr="00513E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513E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513E78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</w:t>
            </w:r>
            <w:proofErr w:type="spellEnd"/>
          </w:p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513E78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99540A" w:rsidRPr="00513E78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</w:t>
            </w:r>
            <w:r w:rsidR="0099540A"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ткл</w:t>
            </w:r>
            <w:proofErr w:type="spellEnd"/>
            <w:r w:rsidR="0099540A"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</w:p>
        </w:tc>
      </w:tr>
      <w:tr w:rsidR="0099540A" w:rsidRPr="006F2610" w:rsidTr="00513E78">
        <w:trPr>
          <w:cantSplit/>
          <w:trHeight w:val="373"/>
          <w:tblHeader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513E78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513E78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513E78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513E78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513E78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513E78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%</w:t>
            </w:r>
          </w:p>
        </w:tc>
      </w:tr>
      <w:tr w:rsidR="00777C8A" w:rsidRPr="006F2610" w:rsidTr="00513E78">
        <w:trPr>
          <w:trHeight w:val="26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777C8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777C8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887AEE" w:rsidP="00513E78">
            <w:pPr>
              <w:suppressAutoHyphens/>
              <w:autoSpaceDN w:val="0"/>
              <w:spacing w:after="0" w:line="240" w:lineRule="auto"/>
              <w:ind w:hanging="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122 150 056,5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594D1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122 150 056,5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100,0</w:t>
            </w:r>
          </w:p>
        </w:tc>
      </w:tr>
      <w:tr w:rsidR="00B806F2" w:rsidRPr="006F2610" w:rsidTr="00513E78">
        <w:trPr>
          <w:trHeight w:val="34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16 275 756,0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16 553 262,0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277 506,0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AC5996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  <w:r w:rsidR="00887AEE"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1,7</w:t>
            </w:r>
          </w:p>
        </w:tc>
      </w:tr>
      <w:tr w:rsidR="00B806F2" w:rsidRPr="006F2610" w:rsidTr="00513E78">
        <w:trPr>
          <w:trHeight w:val="24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13 502 175,6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13 224 669,6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-277 506,0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513E78" w:rsidRDefault="00887AEE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13E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97,9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A06D3D" w:rsidRDefault="0099540A" w:rsidP="001D39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</w:t>
      </w:r>
      <w:r w:rsidR="00513E7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видов расходов</w:t>
      </w:r>
      <w:r w:rsidR="00513E7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</w:t>
      </w:r>
      <w:r w:rsidR="00513E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 277506,0</w:t>
      </w:r>
      <w:r w:rsidR="001D39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 (</w:t>
      </w:r>
      <w:r w:rsidR="00513E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1,7 %) за счет уменьшения на указанную сумму расходов по группе </w:t>
      </w:r>
      <w:r w:rsidR="00214877" w:rsidRPr="00FB51E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</w:t>
      </w:r>
      <w:r w:rsidR="00214877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«Иные бюджетные ассигнования»</w:t>
      </w:r>
      <w:r w:rsidR="00167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="00513E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2,1</w:t>
      </w:r>
      <w:r w:rsidR="00167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13E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%</w:t>
      </w:r>
      <w:r w:rsidR="00167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513E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513E78" w:rsidRDefault="00516447" w:rsidP="00E46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Вносимые изменения затрагивают финансовое обеспечение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5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Pr="005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сферы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Сахалинской области» на 2014-2020 годы».</w:t>
      </w:r>
      <w:r w:rsidRPr="005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основным мероприятиям государственной программы увеличены на 277506,0 тыс. рублей на имущественный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некоммерческой организации «Исторический парк «Моя история».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расходов произведено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средств резервного фонда Правительства Сахалинской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предусмотренных на финансирование непредвиденных расходов.</w:t>
      </w:r>
    </w:p>
    <w:p w:rsidR="00167D88" w:rsidRPr="00167D88" w:rsidRDefault="00167D88" w:rsidP="00E46A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7D8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949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08"/>
        <w:gridCol w:w="1844"/>
        <w:gridCol w:w="1842"/>
        <w:gridCol w:w="1701"/>
      </w:tblGrid>
      <w:tr w:rsidR="00513E78" w:rsidRPr="00513E78" w:rsidTr="00AD6993">
        <w:trPr>
          <w:trHeight w:val="719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E78" w:rsidRPr="00513E78" w:rsidRDefault="00513E78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E78" w:rsidRPr="00513E78" w:rsidRDefault="009D6F5C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E78" w:rsidRPr="00513E78" w:rsidRDefault="009D6F5C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E78" w:rsidRPr="00513E78" w:rsidRDefault="00513E78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13E78" w:rsidRPr="00513E78" w:rsidTr="00513E78">
        <w:trPr>
          <w:trHeight w:val="288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E78" w:rsidRPr="00513E78" w:rsidRDefault="00513E78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в Сахалинской области» на 2014-2020 годы»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513E78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2 586 203,7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513E78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2 863 709,7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513E78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277 506,0</w:t>
            </w:r>
          </w:p>
        </w:tc>
      </w:tr>
      <w:tr w:rsidR="00513E78" w:rsidRPr="00513E78" w:rsidTr="00513E78">
        <w:trPr>
          <w:trHeight w:val="288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3E78" w:rsidRPr="00513E78" w:rsidRDefault="009D6F5C" w:rsidP="0051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F5C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9D6F5C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4 125 938,8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9D6F5C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3 848 432,8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E78" w:rsidRPr="00513E78" w:rsidRDefault="009D6F5C" w:rsidP="009D6F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3E78"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277 506,0</w:t>
            </w:r>
          </w:p>
        </w:tc>
      </w:tr>
    </w:tbl>
    <w:p w:rsidR="00513E78" w:rsidRDefault="00513E78" w:rsidP="001D39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E46A5D" w:rsidRDefault="00E46A5D" w:rsidP="00167D8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88" w:rsidRDefault="00516447" w:rsidP="00E46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19539A">
        <w:rPr>
          <w:rFonts w:ascii="Times New Roman" w:hAnsi="Times New Roman" w:cs="Times New Roman"/>
          <w:sz w:val="28"/>
          <w:szCs w:val="28"/>
        </w:rPr>
        <w:t>нформация об изменениях бюджетных ассигнований по главным распорядителям бюджетных средств</w:t>
      </w:r>
      <w:r w:rsidR="00167D88"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</w:p>
    <w:p w:rsidR="00167D88" w:rsidRPr="00516447" w:rsidRDefault="00167D88" w:rsidP="00E46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7D8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949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08"/>
        <w:gridCol w:w="1844"/>
        <w:gridCol w:w="1842"/>
        <w:gridCol w:w="1701"/>
      </w:tblGrid>
      <w:tr w:rsidR="00516447" w:rsidRPr="00513E78" w:rsidTr="00AD6993">
        <w:trPr>
          <w:trHeight w:val="719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447" w:rsidRPr="00513E78" w:rsidRDefault="00516447" w:rsidP="00AD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447" w:rsidRPr="00513E78" w:rsidRDefault="00516447" w:rsidP="00AD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447" w:rsidRPr="00513E78" w:rsidRDefault="00516447" w:rsidP="00AD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447" w:rsidRPr="00513E78" w:rsidRDefault="00516447" w:rsidP="00AD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16447" w:rsidRPr="00513E78" w:rsidTr="00AD6993">
        <w:trPr>
          <w:trHeight w:val="288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447" w:rsidRPr="00513E78" w:rsidRDefault="00516447" w:rsidP="00AD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Сахалинской области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9 168 314,2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8 890 808,2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277 506,0</w:t>
            </w:r>
          </w:p>
        </w:tc>
      </w:tr>
      <w:tr w:rsidR="00516447" w:rsidRPr="00513E78" w:rsidTr="00AD6993">
        <w:trPr>
          <w:trHeight w:val="288"/>
        </w:trPr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447" w:rsidRPr="00513E78" w:rsidRDefault="00516447" w:rsidP="0051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2 684 435,7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2 961 941,7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447" w:rsidRPr="00513E78" w:rsidRDefault="00516447" w:rsidP="00AD6993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277 506,0</w:t>
            </w:r>
          </w:p>
        </w:tc>
      </w:tr>
    </w:tbl>
    <w:p w:rsidR="00516447" w:rsidRDefault="00516447" w:rsidP="005164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60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>В</w:t>
      </w:r>
      <w:r w:rsidR="00167D88">
        <w:rPr>
          <w:rFonts w:ascii="Times New Roman" w:eastAsia="Calibri" w:hAnsi="Times New Roman" w:cs="Times New Roman"/>
          <w:sz w:val="28"/>
          <w:szCs w:val="28"/>
        </w:rPr>
        <w:t xml:space="preserve">носимые законопроектом изменения </w:t>
      </w:r>
      <w:r w:rsidRPr="003B19A3">
        <w:rPr>
          <w:rFonts w:ascii="Times New Roman" w:eastAsia="Calibri" w:hAnsi="Times New Roman" w:cs="Times New Roman"/>
          <w:sz w:val="28"/>
          <w:szCs w:val="28"/>
        </w:rPr>
        <w:t>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ED5" w:rsidRDefault="00274DFB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Pr="00FD223E" w:rsidRDefault="00167D88" w:rsidP="00167D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A821A1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председателя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Т.Р</w:t>
      </w:r>
      <w:r w:rsidR="00F1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Харченко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A" w:rsidRDefault="0042025A">
      <w:pPr>
        <w:spacing w:after="0" w:line="240" w:lineRule="auto"/>
      </w:pPr>
      <w:r>
        <w:separator/>
      </w:r>
    </w:p>
  </w:endnote>
  <w:endnote w:type="continuationSeparator" w:id="0">
    <w:p w:rsidR="0042025A" w:rsidRDefault="004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A" w:rsidRDefault="0042025A">
      <w:pPr>
        <w:spacing w:after="0" w:line="240" w:lineRule="auto"/>
      </w:pPr>
      <w:r>
        <w:separator/>
      </w:r>
    </w:p>
  </w:footnote>
  <w:footnote w:type="continuationSeparator" w:id="0">
    <w:p w:rsidR="0042025A" w:rsidRDefault="0042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55" w:rsidRDefault="00FE5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B04">
      <w:rPr>
        <w:rStyle w:val="a5"/>
        <w:noProof/>
      </w:rPr>
      <w:t>2</w:t>
    </w:r>
    <w:r>
      <w:rPr>
        <w:rStyle w:val="a5"/>
      </w:rPr>
      <w:fldChar w:fldCharType="end"/>
    </w:r>
  </w:p>
  <w:p w:rsidR="00FE5855" w:rsidRDefault="00FE5855">
    <w:pPr>
      <w:pStyle w:val="a3"/>
    </w:pPr>
  </w:p>
  <w:p w:rsidR="00FE5855" w:rsidRDefault="00FE5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88F"/>
    <w:rsid w:val="00007BFF"/>
    <w:rsid w:val="00013C1D"/>
    <w:rsid w:val="0001596F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1ED6"/>
    <w:rsid w:val="00032319"/>
    <w:rsid w:val="000324EB"/>
    <w:rsid w:val="00033D1A"/>
    <w:rsid w:val="000349A7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2EC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1DE"/>
    <w:rsid w:val="00086538"/>
    <w:rsid w:val="00090647"/>
    <w:rsid w:val="00091A5A"/>
    <w:rsid w:val="00096742"/>
    <w:rsid w:val="00096867"/>
    <w:rsid w:val="000975EA"/>
    <w:rsid w:val="00097D65"/>
    <w:rsid w:val="000A3259"/>
    <w:rsid w:val="000A37FE"/>
    <w:rsid w:val="000A3E36"/>
    <w:rsid w:val="000A4FDD"/>
    <w:rsid w:val="000A5153"/>
    <w:rsid w:val="000A53FD"/>
    <w:rsid w:val="000A55AC"/>
    <w:rsid w:val="000B19F7"/>
    <w:rsid w:val="000B3A73"/>
    <w:rsid w:val="000B4AFB"/>
    <w:rsid w:val="000B5AC1"/>
    <w:rsid w:val="000B6244"/>
    <w:rsid w:val="000B6259"/>
    <w:rsid w:val="000B7CD0"/>
    <w:rsid w:val="000C0345"/>
    <w:rsid w:val="000C091F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66B"/>
    <w:rsid w:val="000F5BF3"/>
    <w:rsid w:val="000F5D08"/>
    <w:rsid w:val="000F7032"/>
    <w:rsid w:val="001047D6"/>
    <w:rsid w:val="00104CF2"/>
    <w:rsid w:val="00104E90"/>
    <w:rsid w:val="0010562A"/>
    <w:rsid w:val="00111130"/>
    <w:rsid w:val="0011296E"/>
    <w:rsid w:val="00113296"/>
    <w:rsid w:val="00114B15"/>
    <w:rsid w:val="00115995"/>
    <w:rsid w:val="00117427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B04"/>
    <w:rsid w:val="00163F2C"/>
    <w:rsid w:val="00164C12"/>
    <w:rsid w:val="00165C84"/>
    <w:rsid w:val="00167D88"/>
    <w:rsid w:val="0017048D"/>
    <w:rsid w:val="001712C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0BE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87FC0"/>
    <w:rsid w:val="0019228A"/>
    <w:rsid w:val="00193718"/>
    <w:rsid w:val="001944A3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7BA"/>
    <w:rsid w:val="001C3A59"/>
    <w:rsid w:val="001C4809"/>
    <w:rsid w:val="001C5BD6"/>
    <w:rsid w:val="001D020A"/>
    <w:rsid w:val="001D1B85"/>
    <w:rsid w:val="001D2398"/>
    <w:rsid w:val="001D3965"/>
    <w:rsid w:val="001D64E7"/>
    <w:rsid w:val="001E06FA"/>
    <w:rsid w:val="001E1654"/>
    <w:rsid w:val="001E2D5E"/>
    <w:rsid w:val="001E2D8F"/>
    <w:rsid w:val="001E4CEE"/>
    <w:rsid w:val="001E51F3"/>
    <w:rsid w:val="001E5A9A"/>
    <w:rsid w:val="001E5D24"/>
    <w:rsid w:val="001E6D10"/>
    <w:rsid w:val="001F031F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0F8"/>
    <w:rsid w:val="00230BB8"/>
    <w:rsid w:val="00230BF2"/>
    <w:rsid w:val="002317B8"/>
    <w:rsid w:val="00231C66"/>
    <w:rsid w:val="00231CF9"/>
    <w:rsid w:val="002321D8"/>
    <w:rsid w:val="00232A82"/>
    <w:rsid w:val="00232C0F"/>
    <w:rsid w:val="002334E8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001"/>
    <w:rsid w:val="002706B4"/>
    <w:rsid w:val="00270BBE"/>
    <w:rsid w:val="002710A4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470"/>
    <w:rsid w:val="00283C8A"/>
    <w:rsid w:val="00284FB0"/>
    <w:rsid w:val="00285E95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466"/>
    <w:rsid w:val="002A6894"/>
    <w:rsid w:val="002B2CF6"/>
    <w:rsid w:val="002B461E"/>
    <w:rsid w:val="002B67DA"/>
    <w:rsid w:val="002B6F34"/>
    <w:rsid w:val="002C01BF"/>
    <w:rsid w:val="002C25E4"/>
    <w:rsid w:val="002C2AD2"/>
    <w:rsid w:val="002C5950"/>
    <w:rsid w:val="002C62DD"/>
    <w:rsid w:val="002C7A2A"/>
    <w:rsid w:val="002D4AD8"/>
    <w:rsid w:val="002D510E"/>
    <w:rsid w:val="002D5498"/>
    <w:rsid w:val="002D73FB"/>
    <w:rsid w:val="002D747D"/>
    <w:rsid w:val="002E0F24"/>
    <w:rsid w:val="002E17BE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068B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2340D"/>
    <w:rsid w:val="003301A4"/>
    <w:rsid w:val="00330AF9"/>
    <w:rsid w:val="0033129E"/>
    <w:rsid w:val="00332CE1"/>
    <w:rsid w:val="00333060"/>
    <w:rsid w:val="00336AD0"/>
    <w:rsid w:val="003378EF"/>
    <w:rsid w:val="00346AC7"/>
    <w:rsid w:val="00346C2C"/>
    <w:rsid w:val="00346C4B"/>
    <w:rsid w:val="0034728A"/>
    <w:rsid w:val="003478B3"/>
    <w:rsid w:val="00351287"/>
    <w:rsid w:val="00354C20"/>
    <w:rsid w:val="003562A4"/>
    <w:rsid w:val="003567FB"/>
    <w:rsid w:val="00360B60"/>
    <w:rsid w:val="0036143E"/>
    <w:rsid w:val="0036219B"/>
    <w:rsid w:val="00362D3B"/>
    <w:rsid w:val="00362F4B"/>
    <w:rsid w:val="0036364A"/>
    <w:rsid w:val="00365750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19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1D35"/>
    <w:rsid w:val="003B50D3"/>
    <w:rsid w:val="003B640E"/>
    <w:rsid w:val="003B6DE8"/>
    <w:rsid w:val="003C074D"/>
    <w:rsid w:val="003C0BB1"/>
    <w:rsid w:val="003C18A1"/>
    <w:rsid w:val="003C2360"/>
    <w:rsid w:val="003C367B"/>
    <w:rsid w:val="003C38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0721D"/>
    <w:rsid w:val="00410A91"/>
    <w:rsid w:val="00411424"/>
    <w:rsid w:val="0041186A"/>
    <w:rsid w:val="00412ACB"/>
    <w:rsid w:val="00413D5C"/>
    <w:rsid w:val="00414C51"/>
    <w:rsid w:val="00414F28"/>
    <w:rsid w:val="00415077"/>
    <w:rsid w:val="00415101"/>
    <w:rsid w:val="0041556B"/>
    <w:rsid w:val="00416200"/>
    <w:rsid w:val="0041726B"/>
    <w:rsid w:val="0042025A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3CD2"/>
    <w:rsid w:val="004543E3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5183"/>
    <w:rsid w:val="00465573"/>
    <w:rsid w:val="00466B78"/>
    <w:rsid w:val="004677EF"/>
    <w:rsid w:val="00467A86"/>
    <w:rsid w:val="004705B9"/>
    <w:rsid w:val="00471A35"/>
    <w:rsid w:val="004735C8"/>
    <w:rsid w:val="00475B6D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1AA3"/>
    <w:rsid w:val="004B394D"/>
    <w:rsid w:val="004B41E3"/>
    <w:rsid w:val="004B4D8D"/>
    <w:rsid w:val="004B571C"/>
    <w:rsid w:val="004C3A66"/>
    <w:rsid w:val="004C437E"/>
    <w:rsid w:val="004C59A4"/>
    <w:rsid w:val="004D0F80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E7992"/>
    <w:rsid w:val="004F1C15"/>
    <w:rsid w:val="004F1CF8"/>
    <w:rsid w:val="004F5F9E"/>
    <w:rsid w:val="004F7B87"/>
    <w:rsid w:val="00500FCE"/>
    <w:rsid w:val="00503F0F"/>
    <w:rsid w:val="005061A5"/>
    <w:rsid w:val="0050792A"/>
    <w:rsid w:val="0051073D"/>
    <w:rsid w:val="005131F3"/>
    <w:rsid w:val="00513C87"/>
    <w:rsid w:val="00513E78"/>
    <w:rsid w:val="00516247"/>
    <w:rsid w:val="005164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348F"/>
    <w:rsid w:val="005344B5"/>
    <w:rsid w:val="00534B24"/>
    <w:rsid w:val="0053505A"/>
    <w:rsid w:val="00535434"/>
    <w:rsid w:val="00536379"/>
    <w:rsid w:val="00537445"/>
    <w:rsid w:val="0053781A"/>
    <w:rsid w:val="005405D2"/>
    <w:rsid w:val="00541985"/>
    <w:rsid w:val="00541F08"/>
    <w:rsid w:val="005433C8"/>
    <w:rsid w:val="00545F79"/>
    <w:rsid w:val="0054691C"/>
    <w:rsid w:val="005519AB"/>
    <w:rsid w:val="005530D7"/>
    <w:rsid w:val="00553ED4"/>
    <w:rsid w:val="005543CD"/>
    <w:rsid w:val="00554BE8"/>
    <w:rsid w:val="00555780"/>
    <w:rsid w:val="00557A8A"/>
    <w:rsid w:val="00557E15"/>
    <w:rsid w:val="00561101"/>
    <w:rsid w:val="0056137A"/>
    <w:rsid w:val="00561498"/>
    <w:rsid w:val="0056282A"/>
    <w:rsid w:val="00563037"/>
    <w:rsid w:val="005634C3"/>
    <w:rsid w:val="005637D4"/>
    <w:rsid w:val="00564579"/>
    <w:rsid w:val="0056718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242A"/>
    <w:rsid w:val="00583B58"/>
    <w:rsid w:val="0058733E"/>
    <w:rsid w:val="00592AE4"/>
    <w:rsid w:val="00593E1C"/>
    <w:rsid w:val="005945DE"/>
    <w:rsid w:val="00594B99"/>
    <w:rsid w:val="00594D1A"/>
    <w:rsid w:val="00594DEB"/>
    <w:rsid w:val="00596EC2"/>
    <w:rsid w:val="005A0D62"/>
    <w:rsid w:val="005A0D87"/>
    <w:rsid w:val="005A0F52"/>
    <w:rsid w:val="005A3027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696"/>
    <w:rsid w:val="005E5B99"/>
    <w:rsid w:val="005E5C16"/>
    <w:rsid w:val="005E5D29"/>
    <w:rsid w:val="005E689B"/>
    <w:rsid w:val="005E6A55"/>
    <w:rsid w:val="005E7B54"/>
    <w:rsid w:val="005F3434"/>
    <w:rsid w:val="005F4245"/>
    <w:rsid w:val="005F430F"/>
    <w:rsid w:val="005F533F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518A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47A4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57FE7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736"/>
    <w:rsid w:val="00694EF5"/>
    <w:rsid w:val="006A17C8"/>
    <w:rsid w:val="006A1C7F"/>
    <w:rsid w:val="006A4C53"/>
    <w:rsid w:val="006A5616"/>
    <w:rsid w:val="006A6840"/>
    <w:rsid w:val="006A6E93"/>
    <w:rsid w:val="006B19AD"/>
    <w:rsid w:val="006B1CB9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64D"/>
    <w:rsid w:val="006C4A0F"/>
    <w:rsid w:val="006C4C39"/>
    <w:rsid w:val="006C5C7F"/>
    <w:rsid w:val="006C614F"/>
    <w:rsid w:val="006C647D"/>
    <w:rsid w:val="006C7583"/>
    <w:rsid w:val="006D27A6"/>
    <w:rsid w:val="006D76CD"/>
    <w:rsid w:val="006E0253"/>
    <w:rsid w:val="006E0EAF"/>
    <w:rsid w:val="006E434E"/>
    <w:rsid w:val="006E4D8F"/>
    <w:rsid w:val="006E6714"/>
    <w:rsid w:val="006E68EE"/>
    <w:rsid w:val="006E717A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2763E"/>
    <w:rsid w:val="00731E64"/>
    <w:rsid w:val="00736481"/>
    <w:rsid w:val="007367E5"/>
    <w:rsid w:val="00736C44"/>
    <w:rsid w:val="0073755D"/>
    <w:rsid w:val="00737A19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672"/>
    <w:rsid w:val="00756983"/>
    <w:rsid w:val="00757324"/>
    <w:rsid w:val="0076093C"/>
    <w:rsid w:val="00762EF4"/>
    <w:rsid w:val="00762F3C"/>
    <w:rsid w:val="007636E7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77C8A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6C4C"/>
    <w:rsid w:val="00797151"/>
    <w:rsid w:val="00797566"/>
    <w:rsid w:val="007A3311"/>
    <w:rsid w:val="007A4851"/>
    <w:rsid w:val="007A4E0D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3F8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5C0E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0E1C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5C60"/>
    <w:rsid w:val="008474EE"/>
    <w:rsid w:val="00851C6C"/>
    <w:rsid w:val="00851F28"/>
    <w:rsid w:val="00855369"/>
    <w:rsid w:val="00855695"/>
    <w:rsid w:val="00855FAE"/>
    <w:rsid w:val="00856460"/>
    <w:rsid w:val="00856730"/>
    <w:rsid w:val="00856F07"/>
    <w:rsid w:val="00860DF2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2F0"/>
    <w:rsid w:val="00876059"/>
    <w:rsid w:val="008761BF"/>
    <w:rsid w:val="00877466"/>
    <w:rsid w:val="008775FF"/>
    <w:rsid w:val="00877C38"/>
    <w:rsid w:val="008808BB"/>
    <w:rsid w:val="00881543"/>
    <w:rsid w:val="00881C03"/>
    <w:rsid w:val="00882AE6"/>
    <w:rsid w:val="008833E6"/>
    <w:rsid w:val="008838B5"/>
    <w:rsid w:val="00887AEE"/>
    <w:rsid w:val="00893791"/>
    <w:rsid w:val="00895CFB"/>
    <w:rsid w:val="00896DAD"/>
    <w:rsid w:val="0089793A"/>
    <w:rsid w:val="00897DB8"/>
    <w:rsid w:val="008A0099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3E96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04B8"/>
    <w:rsid w:val="00921446"/>
    <w:rsid w:val="00921809"/>
    <w:rsid w:val="009231D9"/>
    <w:rsid w:val="00924FCF"/>
    <w:rsid w:val="00926084"/>
    <w:rsid w:val="00926ACE"/>
    <w:rsid w:val="009304F2"/>
    <w:rsid w:val="009323A1"/>
    <w:rsid w:val="00934679"/>
    <w:rsid w:val="009358DE"/>
    <w:rsid w:val="00935D58"/>
    <w:rsid w:val="00940656"/>
    <w:rsid w:val="0094131A"/>
    <w:rsid w:val="00941B7A"/>
    <w:rsid w:val="00943BD4"/>
    <w:rsid w:val="009450DB"/>
    <w:rsid w:val="009459D7"/>
    <w:rsid w:val="00947E19"/>
    <w:rsid w:val="00947E98"/>
    <w:rsid w:val="00953292"/>
    <w:rsid w:val="00953F73"/>
    <w:rsid w:val="009546CC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8E0"/>
    <w:rsid w:val="00962D61"/>
    <w:rsid w:val="0096362C"/>
    <w:rsid w:val="009654B3"/>
    <w:rsid w:val="00967ECB"/>
    <w:rsid w:val="00967F2E"/>
    <w:rsid w:val="00971503"/>
    <w:rsid w:val="00974052"/>
    <w:rsid w:val="00974303"/>
    <w:rsid w:val="009749EB"/>
    <w:rsid w:val="00975136"/>
    <w:rsid w:val="00975EDF"/>
    <w:rsid w:val="009764BD"/>
    <w:rsid w:val="00982185"/>
    <w:rsid w:val="009834FF"/>
    <w:rsid w:val="00983B6F"/>
    <w:rsid w:val="0098455C"/>
    <w:rsid w:val="00984D0B"/>
    <w:rsid w:val="00986792"/>
    <w:rsid w:val="00987536"/>
    <w:rsid w:val="00987655"/>
    <w:rsid w:val="009904A0"/>
    <w:rsid w:val="00991186"/>
    <w:rsid w:val="00991C3D"/>
    <w:rsid w:val="00991EC9"/>
    <w:rsid w:val="00992FCB"/>
    <w:rsid w:val="0099318F"/>
    <w:rsid w:val="00994C8F"/>
    <w:rsid w:val="00994F9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D6F5C"/>
    <w:rsid w:val="009E0046"/>
    <w:rsid w:val="009E0EDA"/>
    <w:rsid w:val="009E42BC"/>
    <w:rsid w:val="009E6618"/>
    <w:rsid w:val="009E6798"/>
    <w:rsid w:val="009E6E86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6D3D"/>
    <w:rsid w:val="00A07B6B"/>
    <w:rsid w:val="00A07CB2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150B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1FDC"/>
    <w:rsid w:val="00A72975"/>
    <w:rsid w:val="00A72B7D"/>
    <w:rsid w:val="00A75074"/>
    <w:rsid w:val="00A76F3E"/>
    <w:rsid w:val="00A770A8"/>
    <w:rsid w:val="00A77F96"/>
    <w:rsid w:val="00A80A27"/>
    <w:rsid w:val="00A80CF3"/>
    <w:rsid w:val="00A8107A"/>
    <w:rsid w:val="00A821A1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A75A2"/>
    <w:rsid w:val="00AB0755"/>
    <w:rsid w:val="00AB1B0A"/>
    <w:rsid w:val="00AB285D"/>
    <w:rsid w:val="00AB2D09"/>
    <w:rsid w:val="00AB53F0"/>
    <w:rsid w:val="00AB629D"/>
    <w:rsid w:val="00AB64F2"/>
    <w:rsid w:val="00AB6C2F"/>
    <w:rsid w:val="00AC0C0D"/>
    <w:rsid w:val="00AC2D82"/>
    <w:rsid w:val="00AC308A"/>
    <w:rsid w:val="00AC30A7"/>
    <w:rsid w:val="00AC4029"/>
    <w:rsid w:val="00AC5996"/>
    <w:rsid w:val="00AC64EB"/>
    <w:rsid w:val="00AC669A"/>
    <w:rsid w:val="00AD0A6B"/>
    <w:rsid w:val="00AD1D23"/>
    <w:rsid w:val="00AD3055"/>
    <w:rsid w:val="00AD31E8"/>
    <w:rsid w:val="00AD32FA"/>
    <w:rsid w:val="00AD3CF7"/>
    <w:rsid w:val="00AD405C"/>
    <w:rsid w:val="00AD5C4D"/>
    <w:rsid w:val="00AD5DF3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4ED7"/>
    <w:rsid w:val="00AF6C91"/>
    <w:rsid w:val="00AF6F67"/>
    <w:rsid w:val="00B02171"/>
    <w:rsid w:val="00B04864"/>
    <w:rsid w:val="00B051F5"/>
    <w:rsid w:val="00B059C2"/>
    <w:rsid w:val="00B0616D"/>
    <w:rsid w:val="00B063E8"/>
    <w:rsid w:val="00B064A4"/>
    <w:rsid w:val="00B06FC4"/>
    <w:rsid w:val="00B07EBB"/>
    <w:rsid w:val="00B10AB5"/>
    <w:rsid w:val="00B13DD7"/>
    <w:rsid w:val="00B15310"/>
    <w:rsid w:val="00B15CC1"/>
    <w:rsid w:val="00B21A73"/>
    <w:rsid w:val="00B22EA7"/>
    <w:rsid w:val="00B240CB"/>
    <w:rsid w:val="00B300FB"/>
    <w:rsid w:val="00B30D84"/>
    <w:rsid w:val="00B313A6"/>
    <w:rsid w:val="00B317CB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7E5D"/>
    <w:rsid w:val="00B806F2"/>
    <w:rsid w:val="00B81060"/>
    <w:rsid w:val="00B8490F"/>
    <w:rsid w:val="00B859C2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5943"/>
    <w:rsid w:val="00BE7002"/>
    <w:rsid w:val="00BE79BE"/>
    <w:rsid w:val="00BF10F5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1675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4BBF"/>
    <w:rsid w:val="00C35BAC"/>
    <w:rsid w:val="00C36491"/>
    <w:rsid w:val="00C44F39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29B"/>
    <w:rsid w:val="00CA7FCD"/>
    <w:rsid w:val="00CB02CB"/>
    <w:rsid w:val="00CB0C58"/>
    <w:rsid w:val="00CB1D11"/>
    <w:rsid w:val="00CB2383"/>
    <w:rsid w:val="00CB2587"/>
    <w:rsid w:val="00CB25F5"/>
    <w:rsid w:val="00CB2B05"/>
    <w:rsid w:val="00CB3FE6"/>
    <w:rsid w:val="00CB67D5"/>
    <w:rsid w:val="00CB6E98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4945"/>
    <w:rsid w:val="00D356C0"/>
    <w:rsid w:val="00D36464"/>
    <w:rsid w:val="00D3707C"/>
    <w:rsid w:val="00D37546"/>
    <w:rsid w:val="00D40226"/>
    <w:rsid w:val="00D412C5"/>
    <w:rsid w:val="00D425E2"/>
    <w:rsid w:val="00D42AAE"/>
    <w:rsid w:val="00D44C42"/>
    <w:rsid w:val="00D4589A"/>
    <w:rsid w:val="00D4671F"/>
    <w:rsid w:val="00D46CEF"/>
    <w:rsid w:val="00D4700C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28B3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EE2"/>
    <w:rsid w:val="00DB6FA8"/>
    <w:rsid w:val="00DB764C"/>
    <w:rsid w:val="00DC01ED"/>
    <w:rsid w:val="00DC08EA"/>
    <w:rsid w:val="00DC0C7A"/>
    <w:rsid w:val="00DC3E64"/>
    <w:rsid w:val="00DC479F"/>
    <w:rsid w:val="00DC4AAB"/>
    <w:rsid w:val="00DD0499"/>
    <w:rsid w:val="00DD2B70"/>
    <w:rsid w:val="00DD5CC5"/>
    <w:rsid w:val="00DD6D7F"/>
    <w:rsid w:val="00DD7200"/>
    <w:rsid w:val="00DE04E5"/>
    <w:rsid w:val="00DE173F"/>
    <w:rsid w:val="00DE1B9F"/>
    <w:rsid w:val="00DE4631"/>
    <w:rsid w:val="00DE4F7C"/>
    <w:rsid w:val="00DE5946"/>
    <w:rsid w:val="00DE6671"/>
    <w:rsid w:val="00DE7123"/>
    <w:rsid w:val="00DF27A1"/>
    <w:rsid w:val="00DF2B3A"/>
    <w:rsid w:val="00DF48B6"/>
    <w:rsid w:val="00DF562E"/>
    <w:rsid w:val="00DF747D"/>
    <w:rsid w:val="00DF7A7E"/>
    <w:rsid w:val="00DF7B0A"/>
    <w:rsid w:val="00E0205B"/>
    <w:rsid w:val="00E028AD"/>
    <w:rsid w:val="00E02F35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127C"/>
    <w:rsid w:val="00E2371D"/>
    <w:rsid w:val="00E2373C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1928"/>
    <w:rsid w:val="00E45987"/>
    <w:rsid w:val="00E46579"/>
    <w:rsid w:val="00E46A5D"/>
    <w:rsid w:val="00E46FC8"/>
    <w:rsid w:val="00E50B7E"/>
    <w:rsid w:val="00E50F1A"/>
    <w:rsid w:val="00E51C80"/>
    <w:rsid w:val="00E52325"/>
    <w:rsid w:val="00E5325C"/>
    <w:rsid w:val="00E5396F"/>
    <w:rsid w:val="00E555AB"/>
    <w:rsid w:val="00E55E2A"/>
    <w:rsid w:val="00E565EC"/>
    <w:rsid w:val="00E60B82"/>
    <w:rsid w:val="00E61DED"/>
    <w:rsid w:val="00E6388A"/>
    <w:rsid w:val="00E67607"/>
    <w:rsid w:val="00E70C40"/>
    <w:rsid w:val="00E713B1"/>
    <w:rsid w:val="00E720FC"/>
    <w:rsid w:val="00E72754"/>
    <w:rsid w:val="00E73AD7"/>
    <w:rsid w:val="00E75803"/>
    <w:rsid w:val="00E77279"/>
    <w:rsid w:val="00E77E28"/>
    <w:rsid w:val="00E77F1E"/>
    <w:rsid w:val="00E80B75"/>
    <w:rsid w:val="00E82A58"/>
    <w:rsid w:val="00E83248"/>
    <w:rsid w:val="00E83838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A0AD4"/>
    <w:rsid w:val="00EA1F9F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4EB4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EE73CE"/>
    <w:rsid w:val="00EF0439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3AB0"/>
    <w:rsid w:val="00F147DD"/>
    <w:rsid w:val="00F14EDB"/>
    <w:rsid w:val="00F1676C"/>
    <w:rsid w:val="00F22B84"/>
    <w:rsid w:val="00F23810"/>
    <w:rsid w:val="00F23CB7"/>
    <w:rsid w:val="00F24F4B"/>
    <w:rsid w:val="00F260D5"/>
    <w:rsid w:val="00F2702C"/>
    <w:rsid w:val="00F332A2"/>
    <w:rsid w:val="00F333E5"/>
    <w:rsid w:val="00F33CA5"/>
    <w:rsid w:val="00F420ED"/>
    <w:rsid w:val="00F44538"/>
    <w:rsid w:val="00F44C27"/>
    <w:rsid w:val="00F47EDA"/>
    <w:rsid w:val="00F51E4D"/>
    <w:rsid w:val="00F52016"/>
    <w:rsid w:val="00F526B6"/>
    <w:rsid w:val="00F537BA"/>
    <w:rsid w:val="00F5380A"/>
    <w:rsid w:val="00F53A2D"/>
    <w:rsid w:val="00F55CE5"/>
    <w:rsid w:val="00F56C29"/>
    <w:rsid w:val="00F62B04"/>
    <w:rsid w:val="00F63535"/>
    <w:rsid w:val="00F63CE6"/>
    <w:rsid w:val="00F64667"/>
    <w:rsid w:val="00F64BB6"/>
    <w:rsid w:val="00F64F19"/>
    <w:rsid w:val="00F65B62"/>
    <w:rsid w:val="00F67117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6FD4"/>
    <w:rsid w:val="00F97990"/>
    <w:rsid w:val="00FA10B1"/>
    <w:rsid w:val="00FA1B6D"/>
    <w:rsid w:val="00FA52DE"/>
    <w:rsid w:val="00FA583C"/>
    <w:rsid w:val="00FA6907"/>
    <w:rsid w:val="00FA7938"/>
    <w:rsid w:val="00FB07B4"/>
    <w:rsid w:val="00FB4810"/>
    <w:rsid w:val="00FB51EC"/>
    <w:rsid w:val="00FB5754"/>
    <w:rsid w:val="00FB7A78"/>
    <w:rsid w:val="00FB7F38"/>
    <w:rsid w:val="00FC0491"/>
    <w:rsid w:val="00FC1EF5"/>
    <w:rsid w:val="00FC2758"/>
    <w:rsid w:val="00FC52E4"/>
    <w:rsid w:val="00FC53D8"/>
    <w:rsid w:val="00FC5F99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E5579"/>
    <w:rsid w:val="00FE5855"/>
    <w:rsid w:val="00FE6698"/>
    <w:rsid w:val="00FE6DA3"/>
    <w:rsid w:val="00FF0F52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189C-C16C-4CF8-AF0D-3478496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11</cp:revision>
  <cp:lastPrinted>2017-09-29T05:58:00Z</cp:lastPrinted>
  <dcterms:created xsi:type="dcterms:W3CDTF">2017-09-29T04:01:00Z</dcterms:created>
  <dcterms:modified xsi:type="dcterms:W3CDTF">2017-10-01T22:32:00Z</dcterms:modified>
</cp:coreProperties>
</file>