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D0" w:rsidRPr="00474CF2" w:rsidRDefault="000573D0" w:rsidP="000573D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74CF2">
        <w:rPr>
          <w:rFonts w:ascii="Times New Roman" w:hAnsi="Times New Roman"/>
          <w:sz w:val="24"/>
          <w:szCs w:val="24"/>
          <w:lang w:eastAsia="ru-RU"/>
        </w:rPr>
        <w:t>В соответствии с пункт 17 плана работы контрольно-счетной палаты Сахалинской области в сентябре-декабре 2018 года проведено контрольное мероприятие «Проверка использования средств областного бюджета, направленных в рамках реализации государственной программы Сахалинской области «Развитие здравоохранения в Сахалинской области на 2014-2020 годы» на капитальный ремонт государственных учреждений здравоохранения Сахалинской области, за 2016, 2017 годы и истекший период 2018 года».</w:t>
      </w:r>
      <w:proofErr w:type="gramEnd"/>
    </w:p>
    <w:p w:rsidR="000573D0" w:rsidRPr="00474CF2" w:rsidRDefault="000573D0" w:rsidP="000573D0">
      <w:pPr>
        <w:tabs>
          <w:tab w:val="left" w:pos="993"/>
        </w:tabs>
        <w:ind w:left="71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573D0" w:rsidRPr="00474CF2" w:rsidRDefault="000573D0" w:rsidP="000573D0">
      <w:pPr>
        <w:pStyle w:val="a3"/>
      </w:pPr>
      <w:r w:rsidRPr="00474CF2">
        <w:t xml:space="preserve">Во исполнение полномочий, возложенных на министерство здравоохранения Сахалинской области (далее - </w:t>
      </w:r>
      <w:r w:rsidR="00C65BDE" w:rsidRPr="00474CF2">
        <w:t>министерство</w:t>
      </w:r>
      <w:r w:rsidRPr="00474CF2">
        <w:t>), капитальный ремонт в подведомственных медицинских учреждениях, осуществлялся в основном при реализации госпрограммы «Развитие здравоохранения в Сахалинской области на 2014-2020 годы». Ассигнования предусматривались в рамках мероприятий подпрограмм, входящих в госпрограмму, в основном по видам оказания медицинской помощи и предоставлялись в виде субсидии на иные цели по соглашениям, заключенным на финансовый год.</w:t>
      </w:r>
    </w:p>
    <w:p w:rsidR="000573D0" w:rsidRPr="00474CF2" w:rsidRDefault="000573D0" w:rsidP="00665800">
      <w:pPr>
        <w:pStyle w:val="a3"/>
      </w:pPr>
      <w:proofErr w:type="gramStart"/>
      <w:r w:rsidRPr="00474CF2">
        <w:t>Министерство имеет 50 подведомственных учреждений здравоохранения, из которых 86 % в 2016-2018 годах получили средства на капремонт (43 учреждения, из них районные центральные больницы в объемах свыше 10,0 млн. рублей:</w:t>
      </w:r>
      <w:proofErr w:type="gramEnd"/>
      <w:r w:rsidRPr="00474CF2">
        <w:t xml:space="preserve"> </w:t>
      </w:r>
      <w:proofErr w:type="gramStart"/>
      <w:r w:rsidRPr="00474CF2">
        <w:t>Александровск-Сахалинская, Углегорская, Долинская, Корсаковская, Макаровская, Невельская, Охинская, Поронайская, Смирныховская, Томаринская, Тымовская, Холмская, Южно-Курильская).</w:t>
      </w:r>
      <w:proofErr w:type="gramEnd"/>
    </w:p>
    <w:p w:rsidR="000573D0" w:rsidRPr="00474CF2" w:rsidRDefault="000573D0" w:rsidP="00665800">
      <w:pPr>
        <w:pStyle w:val="a3"/>
      </w:pPr>
      <w:r w:rsidRPr="00474CF2">
        <w:t xml:space="preserve">Объем средств </w:t>
      </w:r>
      <w:r w:rsidR="004C1BFF" w:rsidRPr="00474CF2">
        <w:t xml:space="preserve">на капитальный ремонт </w:t>
      </w:r>
      <w:r w:rsidRPr="00474CF2">
        <w:t>в рамках госпрограммы предусмотрен: в 2016 году - 233,6 млн. рублей (исполнение - 87,2 %), в 2017 году - 396,3 млн. рублей (испол</w:t>
      </w:r>
      <w:r w:rsidR="004C1BFF" w:rsidRPr="00474CF2">
        <w:t>нение - 83,9 %), на 19.12.2018 -</w:t>
      </w:r>
      <w:r w:rsidRPr="00474CF2">
        <w:t xml:space="preserve"> 480,3 млн. рублей (исполнение составляло - 46,5 %).</w:t>
      </w:r>
    </w:p>
    <w:p w:rsidR="000573D0" w:rsidRPr="00474CF2" w:rsidRDefault="000573D0" w:rsidP="00665800">
      <w:pPr>
        <w:pStyle w:val="a3"/>
        <w:autoSpaceDE w:val="0"/>
        <w:autoSpaceDN w:val="0"/>
        <w:adjustRightInd w:val="0"/>
        <w:contextualSpacing w:val="0"/>
        <w:rPr>
          <w:rFonts w:eastAsia="Times New Roman"/>
          <w:lang w:eastAsia="ru-RU"/>
        </w:rPr>
      </w:pPr>
      <w:r w:rsidRPr="00474CF2">
        <w:rPr>
          <w:rFonts w:eastAsia="Times New Roman"/>
          <w:lang w:eastAsia="ru-RU"/>
        </w:rPr>
        <w:t xml:space="preserve">В разрезе мероприятий подпрограмм капремонт </w:t>
      </w:r>
      <w:r w:rsidR="00E0341D" w:rsidRPr="00474CF2">
        <w:rPr>
          <w:rFonts w:eastAsia="Times New Roman"/>
          <w:lang w:eastAsia="ru-RU"/>
        </w:rPr>
        <w:t>предполагается</w:t>
      </w:r>
      <w:r w:rsidRPr="00474CF2">
        <w:rPr>
          <w:rFonts w:eastAsia="Times New Roman"/>
          <w:lang w:eastAsia="ru-RU"/>
        </w:rPr>
        <w:t xml:space="preserve"> в рамках укрепления материально-технической базы, которое оценивается по ожидаемому результату</w:t>
      </w:r>
      <w:r w:rsidR="00E0341D" w:rsidRPr="00474CF2">
        <w:rPr>
          <w:rFonts w:eastAsia="Times New Roman"/>
          <w:lang w:eastAsia="ru-RU"/>
        </w:rPr>
        <w:t xml:space="preserve"> -</w:t>
      </w:r>
      <w:r w:rsidRPr="00474CF2">
        <w:rPr>
          <w:rFonts w:eastAsia="Times New Roman"/>
          <w:lang w:eastAsia="ru-RU"/>
        </w:rPr>
        <w:t xml:space="preserve"> 100 % достижения планового уровня технической готовности. Индикаторы по данным мероприятиям в части достижения полученных результатов предусматриваются в целом по каждому ме</w:t>
      </w:r>
      <w:r w:rsidR="00E0341D" w:rsidRPr="00474CF2">
        <w:rPr>
          <w:rFonts w:eastAsia="Times New Roman"/>
          <w:lang w:eastAsia="ru-RU"/>
        </w:rPr>
        <w:t>роприятию в разрезе подпрограмм</w:t>
      </w:r>
      <w:r w:rsidRPr="00474CF2">
        <w:rPr>
          <w:rFonts w:eastAsia="Times New Roman"/>
          <w:lang w:eastAsia="ru-RU"/>
        </w:rPr>
        <w:t>. Индивидуальные индикаторы</w:t>
      </w:r>
      <w:r w:rsidR="00665800" w:rsidRPr="00474CF2">
        <w:rPr>
          <w:rFonts w:eastAsia="Times New Roman"/>
          <w:lang w:eastAsia="ru-RU"/>
        </w:rPr>
        <w:t xml:space="preserve">  для оценки выделяемых средств (</w:t>
      </w:r>
      <w:r w:rsidRPr="00474CF2">
        <w:rPr>
          <w:rFonts w:eastAsia="Times New Roman"/>
          <w:lang w:eastAsia="ru-RU"/>
        </w:rPr>
        <w:t>либо иные числовые показателей результативности использования выделенных средств на капремонт</w:t>
      </w:r>
      <w:r w:rsidR="00665800" w:rsidRPr="00474CF2">
        <w:rPr>
          <w:rFonts w:eastAsia="Times New Roman"/>
          <w:lang w:eastAsia="ru-RU"/>
        </w:rPr>
        <w:t>)</w:t>
      </w:r>
      <w:r w:rsidRPr="00474CF2">
        <w:rPr>
          <w:rFonts w:eastAsia="Times New Roman"/>
          <w:lang w:eastAsia="ru-RU"/>
        </w:rPr>
        <w:t xml:space="preserve"> не предусматриваются.</w:t>
      </w:r>
    </w:p>
    <w:p w:rsidR="000573D0" w:rsidRPr="00474CF2" w:rsidRDefault="00E0341D" w:rsidP="00C65B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4CF2">
        <w:rPr>
          <w:rFonts w:ascii="Times New Roman" w:hAnsi="Times New Roman"/>
          <w:sz w:val="24"/>
          <w:szCs w:val="24"/>
          <w:lang w:eastAsia="ru-RU"/>
        </w:rPr>
        <w:t>Результаты проверок</w:t>
      </w:r>
      <w:r w:rsidR="000573D0" w:rsidRPr="00474CF2">
        <w:rPr>
          <w:rFonts w:ascii="Times New Roman" w:hAnsi="Times New Roman"/>
          <w:sz w:val="24"/>
          <w:szCs w:val="24"/>
          <w:lang w:eastAsia="ru-RU"/>
        </w:rPr>
        <w:t xml:space="preserve"> показали, что не все учреждения, получившие средства на капремонт,</w:t>
      </w:r>
      <w:r w:rsidR="00665800" w:rsidRPr="00474C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73D0" w:rsidRPr="00474CF2">
        <w:rPr>
          <w:rFonts w:ascii="Times New Roman" w:hAnsi="Times New Roman"/>
          <w:sz w:val="24"/>
          <w:szCs w:val="24"/>
          <w:lang w:eastAsia="ru-RU"/>
        </w:rPr>
        <w:t xml:space="preserve">достигали уровень технической готовности на конец отчетного периода. Причиной являлись не оконченные госконтракты, по которым были нарушены сроки. Наряду </w:t>
      </w:r>
      <w:r w:rsidR="00C65BDE" w:rsidRPr="00474CF2">
        <w:rPr>
          <w:rFonts w:ascii="Times New Roman" w:hAnsi="Times New Roman"/>
          <w:sz w:val="24"/>
          <w:szCs w:val="24"/>
          <w:lang w:eastAsia="ru-RU"/>
        </w:rPr>
        <w:t xml:space="preserve">с указанным, </w:t>
      </w:r>
      <w:r w:rsidR="000573D0" w:rsidRPr="00474CF2">
        <w:rPr>
          <w:rFonts w:ascii="Times New Roman" w:hAnsi="Times New Roman"/>
          <w:sz w:val="24"/>
          <w:szCs w:val="24"/>
          <w:lang w:eastAsia="ru-RU"/>
        </w:rPr>
        <w:t>неисполнени</w:t>
      </w:r>
      <w:r w:rsidR="00C65BDE" w:rsidRPr="00474CF2">
        <w:rPr>
          <w:rFonts w:ascii="Times New Roman" w:hAnsi="Times New Roman"/>
          <w:sz w:val="24"/>
          <w:szCs w:val="24"/>
          <w:lang w:eastAsia="ru-RU"/>
        </w:rPr>
        <w:t>е</w:t>
      </w:r>
      <w:r w:rsidR="000573D0" w:rsidRPr="00474CF2">
        <w:rPr>
          <w:rFonts w:ascii="Times New Roman" w:hAnsi="Times New Roman"/>
          <w:sz w:val="24"/>
          <w:szCs w:val="24"/>
          <w:lang w:eastAsia="ru-RU"/>
        </w:rPr>
        <w:t xml:space="preserve"> госконтрактов </w:t>
      </w:r>
      <w:r w:rsidR="00C65BDE" w:rsidRPr="00474CF2">
        <w:rPr>
          <w:rFonts w:ascii="Times New Roman" w:hAnsi="Times New Roman"/>
          <w:sz w:val="24"/>
          <w:szCs w:val="24"/>
          <w:lang w:eastAsia="ru-RU"/>
        </w:rPr>
        <w:t>обусловлено</w:t>
      </w:r>
      <w:r w:rsidR="000573D0" w:rsidRPr="00474CF2">
        <w:rPr>
          <w:rFonts w:ascii="Times New Roman" w:hAnsi="Times New Roman"/>
          <w:sz w:val="24"/>
          <w:szCs w:val="24"/>
          <w:lang w:eastAsia="ru-RU"/>
        </w:rPr>
        <w:t xml:space="preserve"> выделение</w:t>
      </w:r>
      <w:r w:rsidR="00C65BDE" w:rsidRPr="00474CF2">
        <w:rPr>
          <w:rFonts w:ascii="Times New Roman" w:hAnsi="Times New Roman"/>
          <w:sz w:val="24"/>
          <w:szCs w:val="24"/>
          <w:lang w:eastAsia="ru-RU"/>
        </w:rPr>
        <w:t>м</w:t>
      </w:r>
      <w:r w:rsidR="000573D0" w:rsidRPr="00474CF2">
        <w:rPr>
          <w:rFonts w:ascii="Times New Roman" w:hAnsi="Times New Roman"/>
          <w:sz w:val="24"/>
          <w:szCs w:val="24"/>
          <w:lang w:eastAsia="ru-RU"/>
        </w:rPr>
        <w:t xml:space="preserve"> средств и размещение</w:t>
      </w:r>
      <w:r w:rsidR="00C65BDE" w:rsidRPr="00474CF2">
        <w:rPr>
          <w:rFonts w:ascii="Times New Roman" w:hAnsi="Times New Roman"/>
          <w:sz w:val="24"/>
          <w:szCs w:val="24"/>
          <w:lang w:eastAsia="ru-RU"/>
        </w:rPr>
        <w:t>м</w:t>
      </w:r>
      <w:r w:rsidR="000573D0" w:rsidRPr="00474CF2">
        <w:rPr>
          <w:rFonts w:ascii="Times New Roman" w:hAnsi="Times New Roman"/>
          <w:sz w:val="24"/>
          <w:szCs w:val="24"/>
          <w:lang w:eastAsia="ru-RU"/>
        </w:rPr>
        <w:t xml:space="preserve"> закупок </w:t>
      </w:r>
      <w:r w:rsidR="00C65BDE" w:rsidRPr="00474CF2">
        <w:rPr>
          <w:rFonts w:ascii="Times New Roman" w:hAnsi="Times New Roman"/>
          <w:sz w:val="24"/>
          <w:szCs w:val="24"/>
          <w:lang w:eastAsia="ru-RU"/>
        </w:rPr>
        <w:t xml:space="preserve">в основном </w:t>
      </w:r>
      <w:r w:rsidR="000573D0" w:rsidRPr="00474CF2">
        <w:rPr>
          <w:rFonts w:ascii="Times New Roman" w:hAnsi="Times New Roman"/>
          <w:sz w:val="24"/>
          <w:szCs w:val="24"/>
          <w:lang w:eastAsia="ru-RU"/>
        </w:rPr>
        <w:t>во втором полугодии финансового года. В результате по климатическим условиям в конце года подрядчики не име</w:t>
      </w:r>
      <w:r w:rsidR="00C65BDE" w:rsidRPr="00474CF2">
        <w:rPr>
          <w:rFonts w:ascii="Times New Roman" w:hAnsi="Times New Roman"/>
          <w:sz w:val="24"/>
          <w:szCs w:val="24"/>
          <w:lang w:eastAsia="ru-RU"/>
        </w:rPr>
        <w:t>ют</w:t>
      </w:r>
      <w:r w:rsidR="000573D0" w:rsidRPr="00474CF2">
        <w:rPr>
          <w:rFonts w:ascii="Times New Roman" w:hAnsi="Times New Roman"/>
          <w:sz w:val="24"/>
          <w:szCs w:val="24"/>
          <w:lang w:eastAsia="ru-RU"/>
        </w:rPr>
        <w:t xml:space="preserve"> возможности выполнить ряд работ, если это работы на прилегающей территории или фасадах. П</w:t>
      </w:r>
      <w:r w:rsidR="000573D0" w:rsidRPr="00474CF2">
        <w:rPr>
          <w:rFonts w:ascii="Times New Roman" w:eastAsia="Calibri" w:hAnsi="Times New Roman"/>
          <w:sz w:val="24"/>
          <w:szCs w:val="24"/>
          <w:lang w:eastAsia="ar-SA"/>
        </w:rPr>
        <w:t>роверкой также отмечена несогласованность в выполнении работ на одном объекте несколькими подрядчиками, повлекшей нарушение сроков, например, когда работы по ремонт</w:t>
      </w:r>
      <w:r w:rsidRPr="00474CF2">
        <w:rPr>
          <w:rFonts w:ascii="Times New Roman" w:eastAsia="Calibri" w:hAnsi="Times New Roman"/>
          <w:sz w:val="24"/>
          <w:szCs w:val="24"/>
          <w:lang w:eastAsia="ar-SA"/>
        </w:rPr>
        <w:t>у фасада и благоустройству прово</w:t>
      </w:r>
      <w:r w:rsidR="000573D0" w:rsidRPr="00474CF2">
        <w:rPr>
          <w:rFonts w:ascii="Times New Roman" w:eastAsia="Calibri" w:hAnsi="Times New Roman"/>
          <w:sz w:val="24"/>
          <w:szCs w:val="24"/>
          <w:lang w:eastAsia="ar-SA"/>
        </w:rPr>
        <w:t>дятся одновременно.</w:t>
      </w:r>
    </w:p>
    <w:p w:rsidR="000573D0" w:rsidRPr="00474CF2" w:rsidRDefault="000573D0" w:rsidP="00C65B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Проверка заключенных соглашений показала недостаток </w:t>
      </w:r>
      <w:proofErr w:type="gramStart"/>
      <w:r w:rsidRPr="00474CF2">
        <w:rPr>
          <w:rFonts w:ascii="Times New Roman" w:eastAsia="Calibri" w:hAnsi="Times New Roman"/>
          <w:sz w:val="24"/>
          <w:szCs w:val="24"/>
          <w:lang w:eastAsia="ar-SA"/>
        </w:rPr>
        <w:t>контроля за</w:t>
      </w:r>
      <w:proofErr w:type="gramEnd"/>
      <w:r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 их составлением министерством, а также исполнением сторонами, в части</w:t>
      </w:r>
      <w:r w:rsidR="00C65BDE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474CF2">
        <w:rPr>
          <w:rFonts w:ascii="Times New Roman" w:eastAsia="Calibri" w:hAnsi="Times New Roman"/>
          <w:sz w:val="24"/>
          <w:szCs w:val="24"/>
          <w:lang w:eastAsia="ar-SA"/>
        </w:rPr>
        <w:t>соблюдения порядка предоставления средств по заявкам учреждений</w:t>
      </w:r>
      <w:r w:rsidR="00C65BDE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, а также </w:t>
      </w:r>
      <w:r w:rsidRPr="00474CF2">
        <w:rPr>
          <w:rFonts w:ascii="Times New Roman" w:eastAsia="Calibri" w:hAnsi="Times New Roman"/>
          <w:sz w:val="24"/>
          <w:szCs w:val="24"/>
          <w:lang w:eastAsia="ar-SA"/>
        </w:rPr>
        <w:t>проверки документов, предоставляемых к заявкам в качестве подтверждения неисполненных обязательств, неосвоенных остатков на конец года</w:t>
      </w:r>
      <w:r w:rsidR="00C65BDE" w:rsidRPr="00474CF2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0573D0" w:rsidRPr="00474CF2" w:rsidRDefault="00C65BDE" w:rsidP="00C65B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4CF2">
        <w:rPr>
          <w:rFonts w:ascii="Times New Roman" w:eastAsia="Calibri" w:hAnsi="Times New Roman"/>
          <w:sz w:val="24"/>
          <w:szCs w:val="24"/>
          <w:lang w:eastAsia="ar-SA"/>
        </w:rPr>
        <w:t>М</w:t>
      </w:r>
      <w:r w:rsidR="000573D0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инистерству </w:t>
      </w:r>
      <w:r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предложено </w:t>
      </w:r>
      <w:r w:rsidR="000573D0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усилить </w:t>
      </w:r>
      <w:proofErr w:type="gramStart"/>
      <w:r w:rsidR="000573D0" w:rsidRPr="00474CF2">
        <w:rPr>
          <w:rFonts w:ascii="Times New Roman" w:eastAsia="Calibri" w:hAnsi="Times New Roman"/>
          <w:sz w:val="24"/>
          <w:szCs w:val="24"/>
          <w:lang w:eastAsia="ar-SA"/>
        </w:rPr>
        <w:t>контроль за</w:t>
      </w:r>
      <w:proofErr w:type="gramEnd"/>
      <w:r w:rsidR="000573D0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 составлением соглашений, в том числе определением направлений, которые должны строго соблюдать</w:t>
      </w:r>
      <w:r w:rsidRPr="00474CF2">
        <w:rPr>
          <w:rFonts w:ascii="Times New Roman" w:eastAsia="Calibri" w:hAnsi="Times New Roman"/>
          <w:sz w:val="24"/>
          <w:szCs w:val="24"/>
          <w:lang w:eastAsia="ar-SA"/>
        </w:rPr>
        <w:t>ся</w:t>
      </w:r>
      <w:r w:rsidR="000573D0" w:rsidRPr="00474CF2">
        <w:rPr>
          <w:rFonts w:ascii="Times New Roman" w:eastAsia="Calibri" w:hAnsi="Times New Roman"/>
          <w:sz w:val="24"/>
          <w:szCs w:val="24"/>
          <w:lang w:eastAsia="ar-SA"/>
        </w:rPr>
        <w:t>, своевременно вносить корректировки в соглашения, провести в данном направлении необходимую работу с подведомственными учреждениями.</w:t>
      </w:r>
    </w:p>
    <w:p w:rsidR="000573D0" w:rsidRPr="00474CF2" w:rsidRDefault="00C65BDE" w:rsidP="00C65B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74CF2">
        <w:rPr>
          <w:rFonts w:ascii="Times New Roman" w:eastAsia="Calibri" w:hAnsi="Times New Roman"/>
          <w:sz w:val="24"/>
          <w:szCs w:val="24"/>
          <w:lang w:eastAsia="ar-SA"/>
        </w:rPr>
        <w:t>Проверки</w:t>
      </w:r>
      <w:r w:rsidR="000573D0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 на объектах показал</w:t>
      </w:r>
      <w:r w:rsidRPr="00474CF2">
        <w:rPr>
          <w:rFonts w:ascii="Times New Roman" w:eastAsia="Calibri" w:hAnsi="Times New Roman"/>
          <w:sz w:val="24"/>
          <w:szCs w:val="24"/>
          <w:lang w:eastAsia="ar-SA"/>
        </w:rPr>
        <w:t>и</w:t>
      </w:r>
      <w:r w:rsidR="000573D0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, что контроль со стороны министерства здравоохранения </w:t>
      </w:r>
      <w:proofErr w:type="gramStart"/>
      <w:r w:rsidR="000573D0" w:rsidRPr="00474CF2">
        <w:rPr>
          <w:rFonts w:ascii="Times New Roman" w:eastAsia="Calibri" w:hAnsi="Times New Roman"/>
          <w:sz w:val="24"/>
          <w:szCs w:val="24"/>
          <w:lang w:eastAsia="ar-SA"/>
        </w:rPr>
        <w:t>носил в основном текущий характер и ограничивался</w:t>
      </w:r>
      <w:proofErr w:type="gramEnd"/>
      <w:r w:rsidR="000573D0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 положениями заключенных соглашений</w:t>
      </w:r>
      <w:r w:rsidRPr="00474CF2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0573D0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F06CA0" w:rsidRPr="00474CF2" w:rsidRDefault="000573D0" w:rsidP="00F06CA0">
      <w:pPr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Контрольным мероприятием охвачено 8 объектов контроля, в ходе проверки которых установлен ряд нарушений и замечаний. </w:t>
      </w:r>
    </w:p>
    <w:p w:rsidR="00F06CA0" w:rsidRPr="00474CF2" w:rsidRDefault="00E0341D" w:rsidP="00F06CA0">
      <w:pPr>
        <w:pStyle w:val="a5"/>
        <w:tabs>
          <w:tab w:val="left" w:pos="993"/>
        </w:tabs>
        <w:suppressAutoHyphens/>
        <w:ind w:left="0" w:firstLine="709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474CF2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Так, </w:t>
      </w:r>
      <w:r w:rsidR="00F06CA0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не все объекты контроля обеспечивают полноту исполнения требований ст. ст. 55.24, 55.25 Градостроительного кодекса РФ, а также Ведомственных строительных норм </w:t>
      </w:r>
      <w:r w:rsidR="005833AE">
        <w:rPr>
          <w:rFonts w:ascii="Times New Roman" w:eastAsia="Calibri" w:hAnsi="Times New Roman"/>
          <w:sz w:val="24"/>
          <w:szCs w:val="24"/>
          <w:lang w:eastAsia="ar-SA"/>
        </w:rPr>
        <w:br/>
      </w:r>
      <w:r w:rsidR="00F06CA0" w:rsidRPr="00474CF2">
        <w:rPr>
          <w:rFonts w:ascii="Times New Roman" w:eastAsia="Calibri" w:hAnsi="Times New Roman"/>
          <w:sz w:val="24"/>
          <w:szCs w:val="24"/>
          <w:lang w:eastAsia="ar-SA"/>
        </w:rPr>
        <w:t>№ 58-88(р), предъявляющих ряд требований к мероприятиям при эксплуатации зданий, в частности: к проведению осмотров специально созданной комиссией, где проверяется готовность здания к эксплуатации в весенне-летний и осенне-зимний периоды, результаты которых должны находить отражение в документах по учету технического</w:t>
      </w:r>
      <w:proofErr w:type="gramEnd"/>
      <w:r w:rsidR="00F06CA0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 состояния здания (</w:t>
      </w:r>
      <w:proofErr w:type="gramStart"/>
      <w:r w:rsidR="00F06CA0" w:rsidRPr="00474CF2">
        <w:rPr>
          <w:rFonts w:ascii="Times New Roman" w:eastAsia="Calibri" w:hAnsi="Times New Roman"/>
          <w:sz w:val="24"/>
          <w:szCs w:val="24"/>
          <w:lang w:eastAsia="ar-SA"/>
        </w:rPr>
        <w:t>журналах</w:t>
      </w:r>
      <w:proofErr w:type="gramEnd"/>
      <w:r w:rsidR="00F06CA0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 учета технического состояния, специальных карточках и др.), а обобщенные сведения о состоянии здания </w:t>
      </w:r>
      <w:r w:rsidRPr="00474CF2">
        <w:rPr>
          <w:rFonts w:ascii="Times New Roman" w:eastAsia="Calibri" w:hAnsi="Times New Roman"/>
          <w:sz w:val="24"/>
          <w:szCs w:val="24"/>
          <w:lang w:eastAsia="ar-SA"/>
        </w:rPr>
        <w:t>предусмотрено е</w:t>
      </w:r>
      <w:r w:rsidR="00F06CA0" w:rsidRPr="00474CF2">
        <w:rPr>
          <w:rFonts w:ascii="Times New Roman" w:eastAsia="Calibri" w:hAnsi="Times New Roman"/>
          <w:sz w:val="24"/>
          <w:szCs w:val="24"/>
          <w:lang w:eastAsia="ar-SA"/>
        </w:rPr>
        <w:t>жегодно отражать</w:t>
      </w:r>
      <w:r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 в его</w:t>
      </w:r>
      <w:r w:rsidR="00F06CA0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 техническом паспорте.</w:t>
      </w:r>
    </w:p>
    <w:p w:rsidR="004A492C" w:rsidRPr="00474CF2" w:rsidRDefault="00F06CA0" w:rsidP="004A492C">
      <w:pPr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474CF2">
        <w:rPr>
          <w:rFonts w:ascii="Times New Roman" w:eastAsia="Calibri" w:hAnsi="Times New Roman"/>
          <w:sz w:val="24"/>
          <w:szCs w:val="24"/>
          <w:lang w:eastAsia="ar-SA"/>
        </w:rPr>
        <w:t>В большинстве случаев, первоочередность и необходимость капремонта определялась по итогам проверок надзорных органов (Главного управления МСЧ России по Сахалинской области прокуратуры Сахалинской области, Управления Федеральной службы по надзору в сфере защиты прав потребителей и благополучия человека по Сахалинской области и др.), а также наличием проектной документации, либо дефектными ведомостями, составленными ранее.</w:t>
      </w:r>
      <w:proofErr w:type="gramEnd"/>
      <w:r w:rsidR="004A492C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474CF2">
        <w:rPr>
          <w:rFonts w:ascii="Times New Roman" w:eastAsia="Calibri" w:hAnsi="Times New Roman"/>
          <w:sz w:val="24"/>
          <w:szCs w:val="24"/>
          <w:lang w:eastAsia="ar-SA"/>
        </w:rPr>
        <w:t>В проведенных учреждениях проектная документация на капремонты имеется, как правило, во всех случаях</w:t>
      </w:r>
      <w:r w:rsidR="004A492C" w:rsidRPr="00474CF2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C65BDE" w:rsidRPr="00474CF2" w:rsidRDefault="004A492C" w:rsidP="00BC28D8">
      <w:pPr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74CF2">
        <w:rPr>
          <w:rFonts w:ascii="Times New Roman" w:eastAsia="Calibri" w:hAnsi="Times New Roman" w:cs="Calibri"/>
          <w:sz w:val="24"/>
          <w:szCs w:val="24"/>
          <w:lang w:eastAsia="ar-SA"/>
        </w:rPr>
        <w:t>По итогам результатов контрольного мероприятия</w:t>
      </w:r>
      <w:r w:rsidR="004C1BFF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0573D0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нарушения </w:t>
      </w:r>
      <w:r w:rsidR="004C1BFF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основном </w:t>
      </w:r>
      <w:r w:rsidR="00562C22">
        <w:rPr>
          <w:rFonts w:ascii="Times New Roman" w:eastAsia="Calibri" w:hAnsi="Times New Roman" w:cs="Calibri"/>
          <w:sz w:val="24"/>
          <w:szCs w:val="24"/>
          <w:lang w:eastAsia="ar-SA"/>
        </w:rPr>
        <w:t>выявлены</w:t>
      </w:r>
      <w:bookmarkStart w:id="0" w:name="_GoBack"/>
      <w:bookmarkEnd w:id="0"/>
      <w:r w:rsidR="000573D0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сфере законодательства о закупках (и</w:t>
      </w:r>
      <w:r w:rsidR="004C1BFF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 88 проверенных госконтрактах </w:t>
      </w:r>
      <w:r w:rsidR="000573D0" w:rsidRPr="00474CF2">
        <w:rPr>
          <w:rFonts w:ascii="Times New Roman" w:eastAsia="Calibri" w:hAnsi="Times New Roman" w:cs="Calibri"/>
          <w:sz w:val="24"/>
          <w:szCs w:val="24"/>
          <w:lang w:eastAsia="ar-SA"/>
        </w:rPr>
        <w:t>48 % имеют нарушения законодательства о закупках)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>, т</w:t>
      </w:r>
      <w:r w:rsidR="000573D0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ак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их как</w:t>
      </w:r>
      <w:r w:rsidR="000573D0" w:rsidRPr="00474CF2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4C1BFF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не соблюдение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сроков исполнения работ, отсутствие взыскания штрафных санкций, </w:t>
      </w:r>
      <w:r w:rsidRPr="00474CF2">
        <w:rPr>
          <w:rFonts w:ascii="Times New Roman" w:eastAsia="Calibri" w:hAnsi="Times New Roman" w:cs="Calibri"/>
          <w:sz w:val="24"/>
          <w:szCs w:val="24"/>
          <w:lang w:eastAsia="ar-SA"/>
        </w:rPr>
        <w:t>недостаток в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организации и исполнении строительного контроля. В 11 случаях установлены нарушения в порядке и сроках оплаты со стороны заказчиков, при этом в 8 случаях не по вине учреждений. 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Кроме того, д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опускал</w:t>
      </w:r>
      <w:r w:rsidR="004C1BFF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ись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несвоевременный возврат 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обеспечения госконтрактов, 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нарушения предусмотренного госконтрактами порядка 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передач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и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строительн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ых 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площад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ок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подрядчик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ам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>, что оказывало влияние на сроки исполнения работ.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6 госконтрактам и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ме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ет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место случа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й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нарушения в части несвоевременного размещения информации об оплате и приемке выполненных работ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ЕИС.</w:t>
      </w:r>
      <w:r w:rsidR="00C65BDE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C65BDE" w:rsidRPr="00474CF2" w:rsidRDefault="00C65BDE" w:rsidP="00C65BDE">
      <w:pPr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итогам 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контрольного мероприятия в адрес министерства здравоохранения Сахалинской области, ГБУЗ «Синегорская участковая больниц</w:t>
      </w:r>
      <w:r w:rsidRPr="00474CF2">
        <w:rPr>
          <w:rFonts w:ascii="Times New Roman" w:eastAsia="Calibri" w:hAnsi="Times New Roman" w:cs="Calibri"/>
          <w:sz w:val="24"/>
          <w:szCs w:val="24"/>
          <w:lang w:eastAsia="ar-SA"/>
        </w:rPr>
        <w:t>а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>»</w:t>
      </w:r>
      <w:r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>ГБУЗ «</w:t>
      </w:r>
      <w:r w:rsidRPr="00474CF2">
        <w:rPr>
          <w:rFonts w:ascii="Times New Roman" w:eastAsia="Calibri" w:hAnsi="Times New Roman" w:cs="Calibri"/>
          <w:sz w:val="24"/>
          <w:szCs w:val="24"/>
          <w:lang w:eastAsia="ar-SA"/>
        </w:rPr>
        <w:t>Городская поликлиника № 2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» подготовлены представления, в адрес министерства экономического развития Сахалинской области - информационное письмо. Копия отчета о результатах контрольного мероприятия будет направлена в Сахалинскую областную </w:t>
      </w:r>
      <w:r w:rsidRPr="00474CF2">
        <w:rPr>
          <w:rFonts w:ascii="Times New Roman" w:eastAsia="Calibri" w:hAnsi="Times New Roman" w:cs="Calibri"/>
          <w:sz w:val="24"/>
          <w:szCs w:val="24"/>
          <w:lang w:eastAsia="ar-SA"/>
        </w:rPr>
        <w:t>Думу, Губернатору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Сахалинской области и в</w:t>
      </w:r>
      <w:r w:rsidRPr="00474C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прокуратур</w:t>
      </w:r>
      <w:r w:rsidR="00BC28D8" w:rsidRPr="00474CF2">
        <w:rPr>
          <w:rFonts w:ascii="Times New Roman" w:eastAsia="Calibri" w:hAnsi="Times New Roman" w:cs="Calibri"/>
          <w:sz w:val="24"/>
          <w:szCs w:val="24"/>
          <w:lang w:eastAsia="ar-SA"/>
        </w:rPr>
        <w:t>у Сахалинской области</w:t>
      </w:r>
      <w:r w:rsidRPr="00474C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C65BDE" w:rsidRPr="00474CF2" w:rsidRDefault="00C65BDE" w:rsidP="000573D0">
      <w:pPr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65BDE" w:rsidRPr="00474CF2" w:rsidRDefault="00C65BDE" w:rsidP="000573D0">
      <w:pPr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sectPr w:rsidR="00C65BDE" w:rsidRPr="00474CF2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34AB538F"/>
    <w:multiLevelType w:val="multilevel"/>
    <w:tmpl w:val="B97430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2">
    <w:nsid w:val="38205818"/>
    <w:multiLevelType w:val="multilevel"/>
    <w:tmpl w:val="EBD62B6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b/>
        <w:i w:val="0"/>
        <w:sz w:val="26"/>
        <w:szCs w:val="26"/>
        <w:u w:val="none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0"/>
    <w:rsid w:val="000573D0"/>
    <w:rsid w:val="001F0175"/>
    <w:rsid w:val="00474CF2"/>
    <w:rsid w:val="004A492C"/>
    <w:rsid w:val="004C1BFF"/>
    <w:rsid w:val="004C7E71"/>
    <w:rsid w:val="00543EE1"/>
    <w:rsid w:val="00562C22"/>
    <w:rsid w:val="005833AE"/>
    <w:rsid w:val="00615F28"/>
    <w:rsid w:val="00665800"/>
    <w:rsid w:val="00743EA8"/>
    <w:rsid w:val="007617CF"/>
    <w:rsid w:val="007B3D49"/>
    <w:rsid w:val="00856358"/>
    <w:rsid w:val="009635F0"/>
    <w:rsid w:val="009B4AF4"/>
    <w:rsid w:val="00B762AE"/>
    <w:rsid w:val="00BC28D8"/>
    <w:rsid w:val="00C167B0"/>
    <w:rsid w:val="00C24CA6"/>
    <w:rsid w:val="00C40E17"/>
    <w:rsid w:val="00C65BDE"/>
    <w:rsid w:val="00D26074"/>
    <w:rsid w:val="00E0341D"/>
    <w:rsid w:val="00ED12FC"/>
    <w:rsid w:val="00F0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D0"/>
    <w:pPr>
      <w:ind w:firstLine="0"/>
      <w:jc w:val="left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0573D0"/>
    <w:pPr>
      <w:tabs>
        <w:tab w:val="left" w:pos="993"/>
      </w:tabs>
      <w:ind w:firstLine="71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73D0"/>
    <w:rPr>
      <w:szCs w:val="24"/>
    </w:rPr>
  </w:style>
  <w:style w:type="paragraph" w:styleId="2">
    <w:name w:val="Body Text Indent 2"/>
    <w:basedOn w:val="a"/>
    <w:link w:val="20"/>
    <w:uiPriority w:val="99"/>
    <w:unhideWhenUsed/>
    <w:rsid w:val="00C65BDE"/>
    <w:pPr>
      <w:tabs>
        <w:tab w:val="left" w:pos="993"/>
      </w:tabs>
      <w:suppressAutoHyphens/>
      <w:autoSpaceDE w:val="0"/>
      <w:autoSpaceDN w:val="0"/>
      <w:adjustRightInd w:val="0"/>
      <w:ind w:firstLine="709"/>
      <w:jc w:val="both"/>
    </w:pPr>
    <w:rPr>
      <w:rFonts w:ascii="Times New Roman" w:eastAsia="Calibri" w:hAnsi="Times New Roman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5BDE"/>
    <w:rPr>
      <w:rFonts w:eastAsia="Calibri"/>
      <w:sz w:val="26"/>
      <w:szCs w:val="26"/>
      <w:lang w:eastAsia="ar-SA"/>
    </w:rPr>
  </w:style>
  <w:style w:type="paragraph" w:styleId="a5">
    <w:name w:val="List Paragraph"/>
    <w:basedOn w:val="a"/>
    <w:uiPriority w:val="99"/>
    <w:qFormat/>
    <w:rsid w:val="00F06CA0"/>
    <w:pPr>
      <w:ind w:left="720" w:firstLine="708"/>
      <w:jc w:val="both"/>
    </w:pPr>
    <w:rPr>
      <w:rFonts w:ascii="Calibri" w:hAnsi="Calibri" w:cs="Calibri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C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E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D0"/>
    <w:pPr>
      <w:ind w:firstLine="0"/>
      <w:jc w:val="left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0573D0"/>
    <w:pPr>
      <w:tabs>
        <w:tab w:val="left" w:pos="993"/>
      </w:tabs>
      <w:ind w:firstLine="71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73D0"/>
    <w:rPr>
      <w:szCs w:val="24"/>
    </w:rPr>
  </w:style>
  <w:style w:type="paragraph" w:styleId="2">
    <w:name w:val="Body Text Indent 2"/>
    <w:basedOn w:val="a"/>
    <w:link w:val="20"/>
    <w:uiPriority w:val="99"/>
    <w:unhideWhenUsed/>
    <w:rsid w:val="00C65BDE"/>
    <w:pPr>
      <w:tabs>
        <w:tab w:val="left" w:pos="993"/>
      </w:tabs>
      <w:suppressAutoHyphens/>
      <w:autoSpaceDE w:val="0"/>
      <w:autoSpaceDN w:val="0"/>
      <w:adjustRightInd w:val="0"/>
      <w:ind w:firstLine="709"/>
      <w:jc w:val="both"/>
    </w:pPr>
    <w:rPr>
      <w:rFonts w:ascii="Times New Roman" w:eastAsia="Calibri" w:hAnsi="Times New Roman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5BDE"/>
    <w:rPr>
      <w:rFonts w:eastAsia="Calibri"/>
      <w:sz w:val="26"/>
      <w:szCs w:val="26"/>
      <w:lang w:eastAsia="ar-SA"/>
    </w:rPr>
  </w:style>
  <w:style w:type="paragraph" w:styleId="a5">
    <w:name w:val="List Paragraph"/>
    <w:basedOn w:val="a"/>
    <w:uiPriority w:val="99"/>
    <w:qFormat/>
    <w:rsid w:val="00F06CA0"/>
    <w:pPr>
      <w:ind w:left="720" w:firstLine="708"/>
      <w:jc w:val="both"/>
    </w:pPr>
    <w:rPr>
      <w:rFonts w:ascii="Calibri" w:hAnsi="Calibri" w:cs="Calibri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C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E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A00A-D713-4AFB-98A4-911DB4A7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Елена Михайловна</cp:lastModifiedBy>
  <cp:revision>2</cp:revision>
  <cp:lastPrinted>2018-12-26T06:19:00Z</cp:lastPrinted>
  <dcterms:created xsi:type="dcterms:W3CDTF">2018-12-27T00:19:00Z</dcterms:created>
  <dcterms:modified xsi:type="dcterms:W3CDTF">2018-12-27T00:19:00Z</dcterms:modified>
</cp:coreProperties>
</file>