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DF2194" w:rsidTr="00DF2194">
        <w:trPr>
          <w:trHeight w:val="1682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DF2194" w:rsidRDefault="00DF2194">
            <w:pPr>
              <w:ind w:firstLine="12"/>
              <w:jc w:val="left"/>
            </w:pPr>
            <w:r>
              <w:t xml:space="preserve">                     Утвержден</w:t>
            </w:r>
          </w:p>
          <w:p w:rsidR="00DF2194" w:rsidRDefault="00DF2194">
            <w:pPr>
              <w:ind w:firstLine="12"/>
              <w:jc w:val="left"/>
            </w:pPr>
            <w:r>
              <w:t>решением Коллегии контрольно-счетной палаты Сахалинской области</w:t>
            </w:r>
          </w:p>
          <w:p w:rsidR="00DF2194" w:rsidRDefault="0039330B">
            <w:pPr>
              <w:ind w:firstLine="12"/>
              <w:jc w:val="left"/>
            </w:pPr>
            <w:r>
              <w:t xml:space="preserve">от  13 июля </w:t>
            </w:r>
            <w:r w:rsidR="00DF2194">
              <w:t xml:space="preserve">2012 г.  № </w:t>
            </w:r>
            <w:r>
              <w:t>5</w:t>
            </w:r>
            <w:bookmarkStart w:id="0" w:name="_GoBack"/>
            <w:bookmarkEnd w:id="0"/>
          </w:p>
          <w:p w:rsidR="00DF2194" w:rsidRDefault="00DF2194"/>
        </w:tc>
      </w:tr>
    </w:tbl>
    <w:p w:rsidR="00DF2194" w:rsidRDefault="00DF2194" w:rsidP="00DF2194">
      <w:pPr>
        <w:ind w:firstLine="0"/>
        <w:jc w:val="center"/>
        <w:rPr>
          <w:b/>
        </w:rPr>
      </w:pPr>
      <w:r>
        <w:rPr>
          <w:b/>
        </w:rPr>
        <w:t>О Т Ч Е Т</w:t>
      </w:r>
    </w:p>
    <w:p w:rsidR="00DF2194" w:rsidRDefault="00DF2194" w:rsidP="00DF2194">
      <w:pPr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DF2194" w:rsidRDefault="00DF2194" w:rsidP="00DF2194">
      <w:pPr>
        <w:ind w:firstLine="0"/>
        <w:jc w:val="center"/>
        <w:rPr>
          <w:b/>
          <w:szCs w:val="24"/>
        </w:rPr>
      </w:pPr>
      <w:r>
        <w:rPr>
          <w:b/>
        </w:rPr>
        <w:t xml:space="preserve"> «П</w:t>
      </w:r>
      <w:r>
        <w:rPr>
          <w:b/>
          <w:szCs w:val="24"/>
        </w:rPr>
        <w:t>роверка целевого и эффективного использования в 2011 году средств областного бюджета, выделенных из резервного фонда Правительства Сахалинской области муниципальному образованию «</w:t>
      </w:r>
      <w:proofErr w:type="spellStart"/>
      <w:r>
        <w:rPr>
          <w:b/>
          <w:szCs w:val="24"/>
        </w:rPr>
        <w:t>Анивский</w:t>
      </w:r>
      <w:proofErr w:type="spellEnd"/>
      <w:r>
        <w:rPr>
          <w:b/>
          <w:szCs w:val="24"/>
        </w:rPr>
        <w:t xml:space="preserve"> городской округ»</w:t>
      </w:r>
    </w:p>
    <w:p w:rsidR="00DF2194" w:rsidRDefault="00DF2194" w:rsidP="00DF2194">
      <w:pPr>
        <w:ind w:firstLine="540"/>
        <w:jc w:val="center"/>
        <w:rPr>
          <w:szCs w:val="24"/>
        </w:rPr>
      </w:pPr>
    </w:p>
    <w:p w:rsidR="00DF2194" w:rsidRDefault="00DF2194" w:rsidP="00DF2194">
      <w:pPr>
        <w:ind w:firstLine="540"/>
        <w:jc w:val="center"/>
      </w:pPr>
      <w:r>
        <w:rPr>
          <w:szCs w:val="24"/>
        </w:rPr>
        <w:t xml:space="preserve"> </w:t>
      </w:r>
      <w:r>
        <w:t>г. Анива                                                                                                  10 июля 2012 года</w:t>
      </w:r>
    </w:p>
    <w:p w:rsidR="00DF2194" w:rsidRDefault="00DF2194" w:rsidP="00DF2194">
      <w:pPr>
        <w:pStyle w:val="a4"/>
        <w:rPr>
          <w:i/>
          <w:iCs/>
          <w:sz w:val="16"/>
          <w:szCs w:val="16"/>
        </w:rPr>
      </w:pPr>
    </w:p>
    <w:p w:rsidR="00DF2194" w:rsidRDefault="00DF2194" w:rsidP="00DF2194">
      <w:pPr>
        <w:pStyle w:val="a4"/>
        <w:spacing w:after="0"/>
        <w:ind w:left="0" w:firstLine="720"/>
        <w:jc w:val="both"/>
        <w:rPr>
          <w:lang w:val="ru-RU"/>
        </w:rPr>
      </w:pPr>
      <w:r>
        <w:rPr>
          <w:i/>
          <w:iCs/>
          <w:lang w:val="ru-RU"/>
        </w:rPr>
        <w:t xml:space="preserve">1. </w:t>
      </w:r>
      <w:r>
        <w:rPr>
          <w:i/>
          <w:iCs/>
        </w:rPr>
        <w:t>Основание для проведения проверки</w:t>
      </w:r>
      <w:r>
        <w:t xml:space="preserve">: пункт </w:t>
      </w:r>
      <w:r>
        <w:rPr>
          <w:lang w:val="ru-RU"/>
        </w:rPr>
        <w:t>28</w:t>
      </w:r>
      <w:r>
        <w:t xml:space="preserve"> плана работы контрольно-счетной палаты Сахалинской области на 2012 год</w:t>
      </w:r>
      <w:r>
        <w:rPr>
          <w:lang w:val="ru-RU"/>
        </w:rPr>
        <w:t xml:space="preserve">, </w:t>
      </w:r>
      <w:r>
        <w:t>удостоверени</w:t>
      </w:r>
      <w:r>
        <w:rPr>
          <w:lang w:val="ru-RU"/>
        </w:rPr>
        <w:t>е</w:t>
      </w:r>
      <w:r>
        <w:t xml:space="preserve"> контрольно-счетной палаты Сахалинской области от 14.05.2012 № 33</w:t>
      </w:r>
      <w:r>
        <w:rPr>
          <w:lang w:val="ru-RU"/>
        </w:rPr>
        <w:t xml:space="preserve"> выданное </w:t>
      </w:r>
      <w:r>
        <w:t>главн</w:t>
      </w:r>
      <w:r>
        <w:rPr>
          <w:lang w:val="ru-RU"/>
        </w:rPr>
        <w:t>ому</w:t>
      </w:r>
      <w:r>
        <w:t xml:space="preserve"> инспектор</w:t>
      </w:r>
      <w:r>
        <w:rPr>
          <w:lang w:val="ru-RU"/>
        </w:rPr>
        <w:t>у</w:t>
      </w:r>
      <w:r>
        <w:t xml:space="preserve"> Назаровой С.Т.</w:t>
      </w:r>
      <w:r>
        <w:rPr>
          <w:lang w:val="ru-RU"/>
        </w:rPr>
        <w:t xml:space="preserve"> на проведение проверки </w:t>
      </w:r>
      <w:r>
        <w:rPr>
          <w:szCs w:val="24"/>
        </w:rPr>
        <w:t>целевого и эффективного использования в 2011 году средств областного бюджета, выделенных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</w:t>
      </w:r>
    </w:p>
    <w:p w:rsidR="00DF2194" w:rsidRDefault="00DF2194" w:rsidP="00DF2194">
      <w:pPr>
        <w:spacing w:line="276" w:lineRule="auto"/>
        <w:ind w:firstLine="720"/>
      </w:pPr>
      <w:r>
        <w:rPr>
          <w:i/>
          <w:iCs/>
        </w:rPr>
        <w:t>2. Предмет проверки</w:t>
      </w:r>
      <w:r>
        <w:t>: документы, подтверждающие использование средств областного бюджета, выделенных из резервного фонда Правительства Сахалинской области муниципальному образованию «</w:t>
      </w:r>
      <w:proofErr w:type="spellStart"/>
      <w:r>
        <w:t>Анивский</w:t>
      </w:r>
      <w:proofErr w:type="spellEnd"/>
      <w:r>
        <w:t xml:space="preserve"> городской округ».</w:t>
      </w:r>
    </w:p>
    <w:p w:rsidR="00DF2194" w:rsidRDefault="00DF2194" w:rsidP="00DF2194">
      <w:pPr>
        <w:spacing w:line="276" w:lineRule="auto"/>
        <w:ind w:firstLine="720"/>
        <w:rPr>
          <w:szCs w:val="24"/>
        </w:rPr>
      </w:pPr>
      <w:r>
        <w:rPr>
          <w:i/>
        </w:rPr>
        <w:t>3. О</w:t>
      </w:r>
      <w:r>
        <w:rPr>
          <w:i/>
          <w:szCs w:val="24"/>
        </w:rPr>
        <w:t xml:space="preserve">бъект (объекты) контрольного мероприятия: </w:t>
      </w:r>
      <w:r>
        <w:rPr>
          <w:szCs w:val="24"/>
        </w:rPr>
        <w:t>муниципальное образование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</w:t>
      </w:r>
    </w:p>
    <w:p w:rsidR="00DF2194" w:rsidRDefault="00DF2194" w:rsidP="00DF2194">
      <w:pPr>
        <w:spacing w:line="276" w:lineRule="auto"/>
        <w:ind w:firstLine="720"/>
        <w:rPr>
          <w:szCs w:val="24"/>
        </w:rPr>
      </w:pPr>
      <w:r>
        <w:rPr>
          <w:i/>
          <w:szCs w:val="24"/>
        </w:rPr>
        <w:t>4. Срок проведения контрольного мероприятия:</w:t>
      </w:r>
      <w:r>
        <w:rPr>
          <w:szCs w:val="24"/>
        </w:rPr>
        <w:t xml:space="preserve"> с 14 мая по 20 июля 2012 года.</w:t>
      </w:r>
    </w:p>
    <w:p w:rsidR="00DF2194" w:rsidRDefault="00DF2194" w:rsidP="00DF2194">
      <w:pPr>
        <w:ind w:firstLine="720"/>
        <w:rPr>
          <w:szCs w:val="24"/>
        </w:rPr>
      </w:pPr>
      <w:r>
        <w:rPr>
          <w:i/>
        </w:rPr>
        <w:t>5. Цели контрольного мероприятия:</w:t>
      </w:r>
      <w:r>
        <w:t xml:space="preserve"> п</w:t>
      </w:r>
      <w:r>
        <w:rPr>
          <w:szCs w:val="24"/>
        </w:rPr>
        <w:t>роверка целевого и эффективного использования в 2011 году средств областного бюджета, выделенных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</w:t>
      </w:r>
    </w:p>
    <w:p w:rsidR="00DF2194" w:rsidRDefault="00DF2194" w:rsidP="00DF2194">
      <w:pPr>
        <w:rPr>
          <w:iCs/>
        </w:rPr>
      </w:pPr>
      <w:r>
        <w:rPr>
          <w:i/>
          <w:iCs/>
        </w:rPr>
        <w:t xml:space="preserve">6. Проверяемый период деятельности: </w:t>
      </w:r>
      <w:r>
        <w:rPr>
          <w:iCs/>
        </w:rPr>
        <w:t>2011 год.</w:t>
      </w:r>
    </w:p>
    <w:p w:rsidR="00DF2194" w:rsidRDefault="00DF2194" w:rsidP="00DF2194">
      <w:pPr>
        <w:spacing w:line="276" w:lineRule="auto"/>
        <w:rPr>
          <w:i/>
        </w:rPr>
      </w:pPr>
      <w:r>
        <w:rPr>
          <w:i/>
        </w:rPr>
        <w:t>7.</w:t>
      </w:r>
      <w:r>
        <w:t xml:space="preserve"> </w:t>
      </w:r>
      <w:r>
        <w:rPr>
          <w:i/>
        </w:rPr>
        <w:t>По результатам</w:t>
      </w:r>
      <w:r>
        <w:t xml:space="preserve"> </w:t>
      </w:r>
      <w:r>
        <w:rPr>
          <w:i/>
        </w:rPr>
        <w:t>контрольного мероприятия установлено следующее.</w:t>
      </w:r>
    </w:p>
    <w:p w:rsidR="00DF2194" w:rsidRDefault="00DF2194" w:rsidP="00DF2194">
      <w:pPr>
        <w:spacing w:line="276" w:lineRule="auto"/>
        <w:rPr>
          <w:i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Использование средств областного бюджета, выделенных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 2011 году характеризуется следующими данными:  </w:t>
      </w:r>
    </w:p>
    <w:p w:rsidR="00DF2194" w:rsidRDefault="00DF2194" w:rsidP="00DF2194">
      <w:pPr>
        <w:jc w:val="right"/>
      </w:pPr>
      <w:r>
        <w:rPr>
          <w:szCs w:val="24"/>
        </w:rPr>
        <w:t xml:space="preserve">        тыс. рублей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2"/>
        <w:gridCol w:w="991"/>
        <w:gridCol w:w="992"/>
        <w:gridCol w:w="991"/>
        <w:gridCol w:w="991"/>
        <w:gridCol w:w="851"/>
        <w:gridCol w:w="991"/>
        <w:gridCol w:w="991"/>
        <w:gridCol w:w="991"/>
      </w:tblGrid>
      <w:tr w:rsidR="00DF2194" w:rsidTr="00DF21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58" w:right="-108" w:firstLine="0"/>
              <w:rPr>
                <w:sz w:val="20"/>
              </w:rPr>
            </w:pPr>
            <w:r>
              <w:rPr>
                <w:sz w:val="20"/>
              </w:rPr>
              <w:t xml:space="preserve">  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Остаток средств обл. бюджета на счете МО по состоянию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01 янв.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 xml:space="preserve">Возврат </w:t>
            </w:r>
            <w:proofErr w:type="spellStart"/>
            <w:r>
              <w:rPr>
                <w:sz w:val="20"/>
              </w:rPr>
              <w:t>неиспользованн</w:t>
            </w:r>
            <w:proofErr w:type="spellEnd"/>
            <w:r>
              <w:rPr>
                <w:sz w:val="20"/>
              </w:rPr>
              <w:t>. остатка в обл. бюджет в 2011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Подтверждена потребность использования остатков в 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Выделено </w:t>
            </w:r>
          </w:p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средств </w:t>
            </w:r>
          </w:p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распоряжениями </w:t>
            </w:r>
          </w:p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Правительства </w:t>
            </w:r>
          </w:p>
          <w:p w:rsidR="00DF2194" w:rsidRDefault="00DF2194">
            <w:pPr>
              <w:ind w:firstLine="0"/>
              <w:rPr>
                <w:b/>
              </w:rPr>
            </w:pPr>
            <w:proofErr w:type="gramStart"/>
            <w:r>
              <w:rPr>
                <w:sz w:val="20"/>
              </w:rPr>
              <w:t>Сахалинской</w:t>
            </w:r>
            <w:proofErr w:type="gramEnd"/>
            <w:r>
              <w:rPr>
                <w:sz w:val="20"/>
              </w:rPr>
              <w:t xml:space="preserve"> обл. в 2011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Перечислено на счет МО в 2011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Произведены расходы</w:t>
            </w:r>
          </w:p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МО в </w:t>
            </w:r>
          </w:p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2011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Возвращено в обл. бюджет в 2011 году</w:t>
            </w:r>
          </w:p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b/>
                <w:sz w:val="20"/>
              </w:rPr>
            </w:pPr>
          </w:p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b/>
                <w:sz w:val="20"/>
              </w:rPr>
            </w:pPr>
          </w:p>
          <w:p w:rsidR="00DF2194" w:rsidRDefault="00DF2194">
            <w:pPr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Остаток средств</w:t>
            </w:r>
          </w:p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обл.  бюджета</w:t>
            </w:r>
          </w:p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счете МО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состоянию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 янв.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Возврат </w:t>
            </w:r>
            <w:proofErr w:type="spellStart"/>
            <w:r>
              <w:rPr>
                <w:sz w:val="20"/>
              </w:rPr>
              <w:t>неиспользован</w:t>
            </w:r>
            <w:proofErr w:type="spellEnd"/>
            <w:r>
              <w:rPr>
                <w:sz w:val="20"/>
              </w:rPr>
              <w:t>.</w:t>
            </w:r>
          </w:p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остатка в обл. бюджет в 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Подтверждена потребность использования остатков в 2012 г.</w:t>
            </w:r>
          </w:p>
        </w:tc>
      </w:tr>
      <w:tr w:rsidR="00DF2194" w:rsidTr="00DF21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25752,5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25752,5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16405,4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16405,4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b/>
              </w:rPr>
            </w:pPr>
            <w:r>
              <w:rPr>
                <w:sz w:val="20"/>
              </w:rPr>
              <w:t>12466,9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2194" w:rsidTr="00DF21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43130,3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43121,3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b/>
              </w:rPr>
            </w:pPr>
            <w:r>
              <w:rPr>
                <w:sz w:val="20"/>
              </w:rPr>
              <w:t>17795,9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sz w:val="20"/>
              </w:rPr>
              <w:t>24225,4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</w:pPr>
            <w:r>
              <w:rPr>
                <w:sz w:val="20"/>
              </w:rPr>
              <w:t>24225,4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</w:pPr>
            <w:r>
              <w:rPr>
                <w:sz w:val="20"/>
              </w:rPr>
              <w:t>23526,9</w:t>
            </w:r>
          </w:p>
        </w:tc>
      </w:tr>
      <w:tr w:rsidR="00DF2194" w:rsidTr="00DF21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25752,5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25752,5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16405,4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43130,3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59526,7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24225,4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24225,4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</w:rPr>
            </w:pPr>
            <w:r>
              <w:rPr>
                <w:b/>
                <w:sz w:val="20"/>
              </w:rPr>
              <w:t>23526,9</w:t>
            </w:r>
          </w:p>
        </w:tc>
      </w:tr>
    </w:tbl>
    <w:p w:rsidR="00DF2194" w:rsidRDefault="00DF2194" w:rsidP="00DF2194">
      <w:pPr>
        <w:rPr>
          <w:b/>
        </w:rPr>
      </w:pPr>
    </w:p>
    <w:p w:rsidR="00DF2194" w:rsidRDefault="00DF2194" w:rsidP="00DF2194">
      <w:pPr>
        <w:rPr>
          <w:b/>
        </w:rPr>
      </w:pPr>
      <w:r>
        <w:rPr>
          <w:b/>
        </w:rPr>
        <w:lastRenderedPageBreak/>
        <w:t>Использование в 2011 году остатка средств резервного фонда по состоянию на 01.01.2011 на счете МО «</w:t>
      </w:r>
      <w:proofErr w:type="spellStart"/>
      <w:r>
        <w:rPr>
          <w:b/>
        </w:rPr>
        <w:t>Анивский</w:t>
      </w:r>
      <w:proofErr w:type="spellEnd"/>
      <w:r>
        <w:rPr>
          <w:b/>
        </w:rPr>
        <w:t xml:space="preserve"> городской округ»</w:t>
      </w:r>
    </w:p>
    <w:p w:rsidR="00DF2194" w:rsidRDefault="00DF2194" w:rsidP="00DF2194">
      <w:pPr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276"/>
        <w:gridCol w:w="2379"/>
        <w:gridCol w:w="1448"/>
        <w:gridCol w:w="1559"/>
        <w:gridCol w:w="1099"/>
      </w:tblGrid>
      <w:tr w:rsidR="00DF2194" w:rsidTr="00DF2194">
        <w:trPr>
          <w:trHeight w:val="79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Остаток на </w:t>
            </w:r>
            <w:r>
              <w:rPr>
                <w:sz w:val="20"/>
              </w:rPr>
              <w:t>01.01.2011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в обл. бюджет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возвращены из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юджета</w:t>
            </w:r>
            <w:proofErr w:type="spellEnd"/>
            <w:r>
              <w:rPr>
                <w:sz w:val="22"/>
                <w:szCs w:val="22"/>
              </w:rPr>
              <w:t xml:space="preserve"> в бюджет МО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возвращенных остатков МО в 2011 г.</w:t>
            </w:r>
          </w:p>
        </w:tc>
      </w:tr>
      <w:tr w:rsidR="00DF2194" w:rsidTr="00DF2194">
        <w:trPr>
          <w:trHeight w:val="707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по </w:t>
            </w:r>
            <w:proofErr w:type="spellStart"/>
            <w:r>
              <w:rPr>
                <w:sz w:val="22"/>
                <w:szCs w:val="22"/>
              </w:rPr>
              <w:t>заключ</w:t>
            </w:r>
            <w:proofErr w:type="spellEnd"/>
            <w:r>
              <w:rPr>
                <w:sz w:val="22"/>
                <w:szCs w:val="22"/>
              </w:rPr>
              <w:t>. контрактам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в обл. бюджет</w:t>
            </w:r>
          </w:p>
        </w:tc>
      </w:tr>
      <w:tr w:rsidR="00DF2194" w:rsidTr="00DF2194">
        <w:trPr>
          <w:trHeight w:val="21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сельского хозяйства, торговли и продовольствия Сахалинской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1 465,669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от 28.01.2011 № 61 на сумму 1465,669 тыс.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1 465,669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1 465,669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2194" w:rsidTr="00DF2194">
        <w:trPr>
          <w:trHeight w:val="1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</w:t>
            </w:r>
            <w:proofErr w:type="gramStart"/>
            <w:r>
              <w:rPr>
                <w:sz w:val="22"/>
                <w:szCs w:val="22"/>
              </w:rPr>
              <w:t>Сахалинской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503,478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от 28.01.2011 № 48 на сумму 503,478 тыс.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503,478</w:t>
            </w:r>
          </w:p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</w:tc>
      </w:tr>
      <w:tr w:rsidR="00DF2194" w:rsidTr="00DF2194">
        <w:trPr>
          <w:trHeight w:val="14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транспорта, связи и дорожного хозяйства Сахалинской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от 28.01.2011 № 49 на сумму 8000,0 тыс.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3385,0</w:t>
            </w:r>
          </w:p>
        </w:tc>
      </w:tr>
      <w:tr w:rsidR="00DF2194" w:rsidTr="00DF2194">
        <w:trPr>
          <w:trHeight w:val="10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Сахалинской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6 472,282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от 28.01.2011 № 50 на сумму 6472,282 тыс.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6 436,282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6386,282 </w:t>
            </w: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F2194" w:rsidTr="00DF2194">
        <w:trPr>
          <w:trHeight w:val="32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финансов </w:t>
            </w:r>
            <w:proofErr w:type="gramStart"/>
            <w:r>
              <w:rPr>
                <w:sz w:val="22"/>
                <w:szCs w:val="22"/>
              </w:rPr>
              <w:t>Сахалинской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9 311,102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возврат от 28.01.2011 № 51 на сумму 9311,102 тыс.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24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240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sz w:val="22"/>
                <w:szCs w:val="22"/>
              </w:rPr>
            </w:pPr>
          </w:p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2194" w:rsidTr="00DF2194">
        <w:trPr>
          <w:trHeight w:val="36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25 752,531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25 752,531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16 405,429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12466,951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3938,478</w:t>
            </w:r>
          </w:p>
        </w:tc>
      </w:tr>
    </w:tbl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Остаток средств областного бюджета (на счете муниципального образования), ранее перечисленных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главными распорядителями бюджетных средств, по состоянию на 01.01.2011 составил 25752,531 тыс. рублей, в том числе: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- 1465,669 тыс. рублей – не использованы по причине позднего поступления средств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(</w:t>
      </w:r>
      <w:proofErr w:type="spellStart"/>
      <w:proofErr w:type="gramStart"/>
      <w:r>
        <w:rPr>
          <w:szCs w:val="24"/>
        </w:rPr>
        <w:t>пл</w:t>
      </w:r>
      <w:proofErr w:type="spellEnd"/>
      <w:proofErr w:type="gramEnd"/>
      <w:r>
        <w:rPr>
          <w:szCs w:val="24"/>
        </w:rPr>
        <w:t>\п от 27.12.2010 № 621);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- 503,478 тыс. рублей -</w:t>
      </w:r>
      <w:r>
        <w:t xml:space="preserve"> </w:t>
      </w:r>
      <w:r>
        <w:rPr>
          <w:szCs w:val="24"/>
        </w:rPr>
        <w:t xml:space="preserve">не использованы </w:t>
      </w:r>
      <w:r>
        <w:t xml:space="preserve">по причине недобросовестного выполнения Подрядчиком (ООО «Ринг») работ, предусмотренных контрактом от 28.09.2009 № 5 «Устройство наружного ограждения общеобразовательного учреждения «Средняя общеобразовательная школа с. </w:t>
      </w:r>
      <w:proofErr w:type="spellStart"/>
      <w:r>
        <w:t>Таранай</w:t>
      </w:r>
      <w:proofErr w:type="spellEnd"/>
      <w:r>
        <w:t xml:space="preserve">». </w:t>
      </w:r>
    </w:p>
    <w:p w:rsidR="00DF2194" w:rsidRDefault="00DF2194" w:rsidP="00DF2194">
      <w:pPr>
        <w:rPr>
          <w:szCs w:val="24"/>
        </w:rPr>
      </w:pPr>
      <w:r>
        <w:t xml:space="preserve">- 8000,0 </w:t>
      </w:r>
      <w:r>
        <w:rPr>
          <w:szCs w:val="24"/>
        </w:rPr>
        <w:t xml:space="preserve">тыс. рублей - не использованы в связи с тем, что торги по конкурсу (17.07.2010 и 08.09.2010) на разработку проектной документации по объекту «Реконструкция автомобильной дороги Троицкое – Ново-Троицкое» дважды были аннулированы УФАС по Сахалинской области (контракт заключен в 2011 году).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- 6472,282 тыс. рублей, в том числе 5000,086 тыс. рублей – в связи с поздним заключением контракта (06.12.2010 № РДК-2 «Приобретение и установка кинооборудования в районный Дом культуры г. Анивы») и соответственно сроками его исполнения в 2011 году; 1436,196 тыс. рублей - не использованы средства в связи с  нарушением Подрядчиком срока выполнения работ по контракту от 01.11.2010 № РДК-1 </w:t>
      </w:r>
      <w:r>
        <w:rPr>
          <w:szCs w:val="24"/>
        </w:rPr>
        <w:lastRenderedPageBreak/>
        <w:t>«Завершение ремонта районного Дома культуры в г. Аниве» (окончание работ по контракту до 20.12.2010); 36,0 тыс. рублей - не обеспечены контрактами.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- 9311,102 тыс. рублей - остаток средств образовался  в связи с поздним подписанием актов выполненных работ по объектам, по причине устранения замечаний Подрядчиками.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В  соответствии с письмом Минфина от 03.11.2010 № 09-03/3290 в январе 2011 года неиспользованные остатки средств в общей сумме 25752,531 тыс. рублей возвращены на единый счет областного бюджета.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В феврале-марте 2011 года возвращены не использованные остатки средств из областного бюджета на счет муниципального образования в общей сумме 16405,429 тыс. рублей, с учетом подтвержденной муниципальным образованием потребности.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Министерством финансов Сахалинской области установлено отсутствие потребности в неиспользованном остатке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умме  9311,102 тыс. рублей.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Проверка целевого и эффективного использования в 2011 году остатка  средств областного бюджета по состоянию на 01.01.2011, выделенных распоряжениями Правительства Сахалинской области (далее – РПСО)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показала следующее.</w:t>
      </w:r>
    </w:p>
    <w:p w:rsidR="00DF2194" w:rsidRDefault="00DF2194" w:rsidP="00DF2194">
      <w:proofErr w:type="gramStart"/>
      <w:r>
        <w:rPr>
          <w:szCs w:val="24"/>
        </w:rPr>
        <w:t>Не использованный остаток средств</w:t>
      </w:r>
      <w:r>
        <w:rPr>
          <w:b/>
          <w:szCs w:val="24"/>
        </w:rPr>
        <w:t xml:space="preserve"> </w:t>
      </w:r>
      <w:r>
        <w:rPr>
          <w:szCs w:val="24"/>
        </w:rPr>
        <w:t>в сумме</w:t>
      </w:r>
      <w:r>
        <w:rPr>
          <w:b/>
          <w:szCs w:val="24"/>
        </w:rPr>
        <w:t xml:space="preserve"> 503,478 тыс. рублей</w:t>
      </w:r>
      <w:r>
        <w:rPr>
          <w:szCs w:val="24"/>
        </w:rPr>
        <w:t xml:space="preserve"> (ГРБС - Министерство образования Сахалинской области) выделенных из резервного фонда Правительства Сахалинской области (РПСО от 08.12.2009 № 888-ра о выделении 12000,0 тыс. рублей </w:t>
      </w:r>
      <w:r>
        <w:t xml:space="preserve">на устройство наружного ограждения  для МОУ «Средняя общеобразовательная школа с. Огоньки», МОУ «Средняя общеобразовательная школа с. </w:t>
      </w:r>
      <w:proofErr w:type="spellStart"/>
      <w:r>
        <w:t>Таранай</w:t>
      </w:r>
      <w:proofErr w:type="spellEnd"/>
      <w:r>
        <w:t>»,  МДОУ «Детский сад № 3 «Рябинка» г. Анива», МДОУ «Детский сад № 4 «Теремок» с</w:t>
      </w:r>
      <w:proofErr w:type="gramEnd"/>
      <w:r>
        <w:t xml:space="preserve">. </w:t>
      </w:r>
      <w:proofErr w:type="gramStart"/>
      <w:r>
        <w:t xml:space="preserve">Новотроицкое»).  </w:t>
      </w:r>
      <w:proofErr w:type="gramEnd"/>
    </w:p>
    <w:p w:rsidR="00DF2194" w:rsidRDefault="00DF2194" w:rsidP="00DF2194">
      <w:pPr>
        <w:rPr>
          <w:szCs w:val="24"/>
        </w:rPr>
      </w:pPr>
      <w:r>
        <w:rPr>
          <w:szCs w:val="24"/>
        </w:rPr>
        <w:t>В соответствии с письмом Минфина от 03.11.2010 № 09-03/3290  денежные средства в сумме 503,478 тыс. рублей возвращены на единый счет областного бюджета (заявка на возврат от 28.01.2011 № 48).</w:t>
      </w:r>
    </w:p>
    <w:p w:rsidR="00DF2194" w:rsidRDefault="00DF2194" w:rsidP="00DF2194">
      <w:pPr>
        <w:tabs>
          <w:tab w:val="left" w:pos="5040"/>
        </w:tabs>
        <w:rPr>
          <w:szCs w:val="24"/>
        </w:rPr>
      </w:pPr>
      <w:r>
        <w:rPr>
          <w:szCs w:val="24"/>
        </w:rPr>
        <w:t>Денежные средства  в сумме 503,478 тыс. рублей возвращены в бюджет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16.02.2011 (выписка из лицевого счета администратора доходов бюджета № 0461300048). Уведомлением по расчетам между бюджетами по межбюджетным трансфертам от 20.01.2011 № 13 указанные средства в 2011 году вновь возвращены на счет местного бюджета без учета потребности. </w:t>
      </w:r>
    </w:p>
    <w:p w:rsidR="00DF2194" w:rsidRDefault="00DF2194" w:rsidP="00DF2194">
      <w:r>
        <w:rPr>
          <w:szCs w:val="24"/>
        </w:rPr>
        <w:t>Заявкой на возврат от 04.07.2011 № 112 денежные средства в сумме 503,478 тыс. рублей возвращены на единый счет областного бюджета, на основании письма Министерства образования Сахалинской области от 19.05.2011 № 01-11/2546.</w:t>
      </w:r>
    </w:p>
    <w:p w:rsidR="00DF2194" w:rsidRDefault="00DF2194" w:rsidP="00DF2194">
      <w:r>
        <w:t xml:space="preserve">На момент проведения настоящей проверки работы, предусмотренные контрактом от 28.09.2009 № 5 «Устройство наружного ограждения общеобразовательного учреждения «Средняя общеобразовательная школа с. </w:t>
      </w:r>
      <w:proofErr w:type="spellStart"/>
      <w:r>
        <w:t>Таранай</w:t>
      </w:r>
      <w:proofErr w:type="spellEnd"/>
      <w:r>
        <w:t xml:space="preserve">» не выполнены (прекращены). </w:t>
      </w:r>
    </w:p>
    <w:p w:rsidR="00DF2194" w:rsidRDefault="00DF2194" w:rsidP="00DF2194">
      <w:r>
        <w:t>Работы выполнены на сумму 1992,026 тыс. рублей, что подтверждено Актом о приемке выполненных работ от 26.01.2010 № 1 и справкой о стоимости выполненных работ и затрат от 26.01.2010 № 1.</w:t>
      </w:r>
    </w:p>
    <w:p w:rsidR="00DF2194" w:rsidRDefault="00DF2194" w:rsidP="00DF2194">
      <w:r>
        <w:t xml:space="preserve">Оплата по вышеуказанному контракту произведена за счет средств, выделенных из резервного фонда Правительства Сахалинской области в общей сумме 2207,802 тыс. рублей, в </w:t>
      </w:r>
      <w:proofErr w:type="spellStart"/>
      <w:r>
        <w:t>т.ч</w:t>
      </w:r>
      <w:proofErr w:type="spellEnd"/>
      <w:r>
        <w:t xml:space="preserve">. перечислен аванс  </w:t>
      </w:r>
      <w:proofErr w:type="spellStart"/>
      <w:proofErr w:type="gramStart"/>
      <w:r>
        <w:t>пл</w:t>
      </w:r>
      <w:proofErr w:type="spellEnd"/>
      <w:proofErr w:type="gramEnd"/>
      <w:r>
        <w:t xml:space="preserve">/п от 29.09.2009 № 31 на сумму 813,384 тыс. рублей, а также произведена оплата </w:t>
      </w:r>
      <w:proofErr w:type="spellStart"/>
      <w:r>
        <w:t>пл</w:t>
      </w:r>
      <w:proofErr w:type="spellEnd"/>
      <w:r>
        <w:t xml:space="preserve">/п от 29.01.2010 № 154 на сумму 1394,418 тыс. рублей, согласно выставленному счету от 26.01.2010 № 0322. </w:t>
      </w:r>
    </w:p>
    <w:p w:rsidR="00DF2194" w:rsidRDefault="00DF2194" w:rsidP="00DF2194">
      <w:r>
        <w:t xml:space="preserve">Учитывая, что работы Подрядчиком не выполнены, оплата с учетом авансового платежа привела к образованию переплаты в сумме </w:t>
      </w:r>
      <w:r>
        <w:rPr>
          <w:b/>
        </w:rPr>
        <w:t>215,776 тыс. рублей</w:t>
      </w:r>
      <w:r>
        <w:t xml:space="preserve"> (2207,802-1992,026), которая подлежит возврату в областной бюджет.</w:t>
      </w:r>
    </w:p>
    <w:p w:rsidR="00DF2194" w:rsidRDefault="00DF2194" w:rsidP="00DF2194">
      <w:r>
        <w:lastRenderedPageBreak/>
        <w:t xml:space="preserve">На момент проведения проверки переплата в сумме 215,776 тыс. рублей с Подрядчика (ООО «Ринг» по МК от 28.09.2009 № 5 «Устройство наружного ограждения общеобразовательного учреждения «Средняя общеобразовательная школа с. </w:t>
      </w:r>
      <w:proofErr w:type="spellStart"/>
      <w:r>
        <w:t>Таранай</w:t>
      </w:r>
      <w:proofErr w:type="spellEnd"/>
      <w:r>
        <w:t>») не взыскана, средства в областной бюджет соответственно не возвращены.</w:t>
      </w:r>
    </w:p>
    <w:p w:rsidR="00DF2194" w:rsidRDefault="00DF2194" w:rsidP="00DF2194"/>
    <w:p w:rsidR="00DF2194" w:rsidRDefault="00DF2194" w:rsidP="00DF2194">
      <w:r>
        <w:t xml:space="preserve">В нарушение п. 5 ст. 9 Федерального закона № 94-ФЗ дополнительными соглашениями (от 30.10.2009, 15.12.2009) к контракту от 28.09.2009 № 5 «Устройство наружного ограждения общеобразовательного учреждения «Средняя общеобразовательная школа с. </w:t>
      </w:r>
      <w:proofErr w:type="spellStart"/>
      <w:r>
        <w:t>Таранай</w:t>
      </w:r>
      <w:proofErr w:type="spellEnd"/>
      <w:r>
        <w:t>» продлен срок выполнения работ.</w:t>
      </w:r>
    </w:p>
    <w:p w:rsidR="00DF2194" w:rsidRDefault="00DF2194" w:rsidP="00DF2194">
      <w:r>
        <w:t xml:space="preserve">Так, согласно п. 2.1. контракта срок выполнения работ установлен до 01.11.2009, дополнительными соглашениями (от 30.10.2009, </w:t>
      </w:r>
      <w:proofErr w:type="gramStart"/>
      <w:r>
        <w:t xml:space="preserve">15.12.2009) </w:t>
      </w:r>
      <w:proofErr w:type="gramEnd"/>
      <w:r>
        <w:t>срок выполнения работ продлен до 15.05.2010.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r>
        <w:t>В течение 2010-2011 года Отделом образования МО «</w:t>
      </w:r>
      <w:proofErr w:type="spellStart"/>
      <w:r>
        <w:t>Анивский</w:t>
      </w:r>
      <w:proofErr w:type="spellEnd"/>
      <w:r>
        <w:t xml:space="preserve"> городской округ» выставлялись претензии к ООО «Ринг» с предложением расторгнуть контракт и выплатить неустойку (претензии от 23.03.2010 № 561, от 11.05.2010 № 935, от 16.07.2010 № 1560, от 15.12.2010 № 2919, от 26.01.2011 № 91). Сумма предъявленной неустойки, согласно письму от 15.08.2011 составила </w:t>
      </w:r>
      <w:r>
        <w:rPr>
          <w:b/>
        </w:rPr>
        <w:t>329,413 тыс. рублей</w:t>
      </w:r>
      <w:r>
        <w:t>. В добровольном порядке сумма неустойк</w:t>
      </w:r>
      <w:proofErr w:type="gramStart"/>
      <w:r>
        <w:t>и ООО</w:t>
      </w:r>
      <w:proofErr w:type="gramEnd"/>
      <w:r>
        <w:t xml:space="preserve"> «Ринг» не возмещена, меры по взысканию неустойки в судебном порядке Отделом образования МО «</w:t>
      </w:r>
      <w:proofErr w:type="spellStart"/>
      <w:r>
        <w:t>Анивский</w:t>
      </w:r>
      <w:proofErr w:type="spellEnd"/>
      <w:r>
        <w:t xml:space="preserve"> городской округ» не принимались.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Не использованы средства</w:t>
      </w:r>
      <w:r>
        <w:rPr>
          <w:b/>
          <w:szCs w:val="24"/>
        </w:rPr>
        <w:t xml:space="preserve"> </w:t>
      </w:r>
      <w:r>
        <w:rPr>
          <w:szCs w:val="24"/>
        </w:rPr>
        <w:t>в сумме</w:t>
      </w:r>
      <w:r>
        <w:rPr>
          <w:b/>
          <w:szCs w:val="24"/>
        </w:rPr>
        <w:t xml:space="preserve"> 8000,0 тыс. рублей</w:t>
      </w:r>
      <w:r>
        <w:rPr>
          <w:szCs w:val="24"/>
        </w:rPr>
        <w:t xml:space="preserve"> (ГРБС – Министерство транспорта, связи и дорожного хозяйства Сахалинской области) выделенные из резервного фонда Правительства Сахалинской области (РПСО от 03.06.2010 № 380-р на сумму 8000,0 тыс. рублей на разработку проектной документации по объекту «Реконструкция автомобильной дороги Троицкое – Ново-Троицкое»)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На основании результатов открытого конкурса с победителем ГУП «</w:t>
      </w:r>
      <w:proofErr w:type="spellStart"/>
      <w:r>
        <w:rPr>
          <w:szCs w:val="24"/>
        </w:rPr>
        <w:t>Автодорпроект</w:t>
      </w:r>
      <w:proofErr w:type="spellEnd"/>
      <w:r>
        <w:rPr>
          <w:szCs w:val="24"/>
        </w:rPr>
        <w:t>» заключен муниципальный контракт от 25.05.2011 № К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на выполнение изыскательских и проектных работ по объекту «Реконструкция автомобильной дороги Троицкое – Ново-Троицкое, км 0+000 – км 6+865» на сумму 7950,0 тыс. рублей.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Следует отметить, что в нарушение условий контракта в срок выполнен только первый этап работ стоимостью 4615,0 тыс. рублей. Оплата за выполненные работы произведена </w:t>
      </w:r>
      <w:proofErr w:type="spellStart"/>
      <w:proofErr w:type="gramStart"/>
      <w:r>
        <w:rPr>
          <w:szCs w:val="24"/>
        </w:rPr>
        <w:t>пл</w:t>
      </w:r>
      <w:proofErr w:type="spellEnd"/>
      <w:proofErr w:type="gramEnd"/>
      <w:r>
        <w:rPr>
          <w:szCs w:val="24"/>
        </w:rPr>
        <w:t>/п от 21.06.2011 № 1444 в сумме 4615,0 тыс. рублей.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Остальные этапы работ на общую сумму 3385,0 тыс. рублей в нарушение условий контракта Исполнителем в срок не выполнены.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Администрация МО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воспользовалось своим правом взыскать неустойку.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Упущенная выгода составила </w:t>
      </w:r>
      <w:r>
        <w:rPr>
          <w:b/>
          <w:szCs w:val="24"/>
        </w:rPr>
        <w:t>7,950 тыс. рублей</w:t>
      </w:r>
      <w:r>
        <w:rPr>
          <w:szCs w:val="24"/>
        </w:rPr>
        <w:t xml:space="preserve"> (7950,0 тыс. рублей х 0,1%).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Остаток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 xml:space="preserve">умме </w:t>
      </w:r>
      <w:r>
        <w:rPr>
          <w:b/>
          <w:szCs w:val="24"/>
        </w:rPr>
        <w:t>3385,0 тыс. рублей</w:t>
      </w:r>
      <w:r>
        <w:rPr>
          <w:szCs w:val="24"/>
        </w:rPr>
        <w:t xml:space="preserve"> (8000,0 – 4615,0) возвращен на единый счет областного бюджета (заявка на возврат от 11.08.2011 № 117) на основании письма Минфина от 28.07.2011 № 04-10/2241. Согласно вышеуказанному письму Минфин считает нецелесообразным выделение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умме 3385,0 тыс. рублей на те же цели в 2011 году, т.к. муниципальным образованием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обеспечено своевременное и эффективное использование средств в 2010 году.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В нарушение условий контракта от 01.11.2010 № РДК-1 «Завершение ремонта районного Дома культуры в г. Аниве» не предъявлена неустойк</w:t>
      </w:r>
      <w:proofErr w:type="gramStart"/>
      <w:r>
        <w:rPr>
          <w:szCs w:val="24"/>
        </w:rPr>
        <w:t>а ООО</w:t>
      </w:r>
      <w:proofErr w:type="gramEnd"/>
      <w:r>
        <w:rPr>
          <w:szCs w:val="24"/>
        </w:rPr>
        <w:t xml:space="preserve"> «Строительная компания «Монолит» за не выполнение обязательств по контракту.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Пунктом 8.4 контракта предусмотрено право Заказчика востребовать неустойку в размере одной трехсотой действующей на день уплаты пени ставки рефинансирования.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Отдел культуры Администрации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выставил претензии (от 07.02.2011 № 4, 01.04.2011 № 17) с требованием уплаты неустойки. Сумма неустойки по состоянию на 01.04.2011 составила 86,465 тыс. рублей. Возмещение неустойки в </w:t>
      </w:r>
      <w:r>
        <w:rPr>
          <w:szCs w:val="24"/>
        </w:rPr>
        <w:lastRenderedPageBreak/>
        <w:t>добровольном порядке ООО «Строительная компания «Монолит» не произведено, меры по взысканию неустойки в судебном порядке не приняты.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Учитывая, что исполнение контракта от 01.11.2010 № РДК-1 предусмотрено 20.12.2010, фактически работы выполнены 26.08.2011, неустойка в сумме </w:t>
      </w:r>
      <w:r>
        <w:rPr>
          <w:b/>
          <w:szCs w:val="24"/>
        </w:rPr>
        <w:t>218,949 тыс. рублей</w:t>
      </w:r>
      <w:r>
        <w:rPr>
          <w:szCs w:val="24"/>
        </w:rPr>
        <w:t xml:space="preserve"> не была предъявлена Подрядчику (ООО «Строительная компания «Монолит»), что является упущенной выгодой.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Не предъявлена неустойка ИП Терешко А.Г. за не выполнение обязательств по МК от 06.12.2010 № РДК-2 «Приобретение и установка кинооборудования в районы дом культуры г. Анивы».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Пунктом 7.4 контракта предусмотрено право Заказчика востребовать неустойку за ненадлежащее исполнение условий контракта. Администрация </w:t>
      </w:r>
      <w:proofErr w:type="spellStart"/>
      <w:r>
        <w:rPr>
          <w:szCs w:val="24"/>
        </w:rPr>
        <w:t>Анивской</w:t>
      </w:r>
      <w:proofErr w:type="spellEnd"/>
      <w:r>
        <w:rPr>
          <w:szCs w:val="24"/>
        </w:rPr>
        <w:t xml:space="preserve"> муниципальной централизованной клубной системы МО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</w:t>
      </w:r>
      <w:proofErr w:type="gramStart"/>
      <w:r>
        <w:rPr>
          <w:szCs w:val="24"/>
        </w:rPr>
        <w:t>воспользовалась правом востребовать неустойку за просрочку исполнения обязательств и в одностороннем порядке было</w:t>
      </w:r>
      <w:proofErr w:type="gramEnd"/>
      <w:r>
        <w:rPr>
          <w:szCs w:val="24"/>
        </w:rPr>
        <w:t xml:space="preserve"> принято решение о неуплате за выполненные работы в сумме 50,0 тыс. рублей в счет уплаты неустойки. Денежные средства в сумме 50,0 тыс. рублей возвращены в областной бюджет (заявка на возврат от 02.12.2011 № 141).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Учитывая, что исполнение контракта от 06.12.2010 № РДК-2 предусмотрено до 25.03.2011, фактически работы выполнены 14.10.2011, сумма неустойки составила 277,754 тыс. рублей. Упущенная выгода составила </w:t>
      </w:r>
      <w:r>
        <w:rPr>
          <w:b/>
          <w:szCs w:val="24"/>
        </w:rPr>
        <w:t>227,754 тыс. рублей</w:t>
      </w:r>
      <w:r>
        <w:rPr>
          <w:szCs w:val="24"/>
        </w:rPr>
        <w:t xml:space="preserve"> (277,754-50,0).</w:t>
      </w:r>
    </w:p>
    <w:p w:rsidR="00DF2194" w:rsidRDefault="00DF2194" w:rsidP="00DF2194"/>
    <w:p w:rsidR="00DF2194" w:rsidRDefault="00DF2194" w:rsidP="00DF2194">
      <w:pPr>
        <w:rPr>
          <w:b/>
        </w:rPr>
      </w:pPr>
      <w:r>
        <w:rPr>
          <w:b/>
        </w:rPr>
        <w:t>Использование средств, выделенных распоряжениями Правительства Сахалинской области из резервного фонда в 2011 году</w:t>
      </w:r>
    </w:p>
    <w:p w:rsidR="00DF2194" w:rsidRDefault="00DF2194" w:rsidP="00DF2194">
      <w:pPr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057"/>
        <w:gridCol w:w="1418"/>
        <w:gridCol w:w="1417"/>
        <w:gridCol w:w="1276"/>
        <w:gridCol w:w="1489"/>
        <w:gridCol w:w="1394"/>
      </w:tblGrid>
      <w:tr w:rsidR="00DF2194" w:rsidTr="00DF219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Ведомство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Выделено средств РПСО в 2011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Перечислено на счет МО в 2011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Произведены</w:t>
            </w:r>
          </w:p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расходы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Возвращено в 2011 году в обл.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Остаток на 01.01.2012</w:t>
            </w:r>
          </w:p>
        </w:tc>
      </w:tr>
      <w:tr w:rsidR="00DF2194" w:rsidTr="00DF219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Министерство образования Сахалинской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от 14.02.2011 № 74-р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2 841,813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158,187</w:t>
            </w:r>
          </w:p>
        </w:tc>
      </w:tr>
      <w:tr w:rsidR="00DF2194" w:rsidTr="00DF2194">
        <w:trPr>
          <w:trHeight w:val="363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Министерство строительства Сахалинской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  <w:p w:rsidR="00DF2194" w:rsidRDefault="00DF2194">
            <w:pPr>
              <w:ind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b/>
                <w:szCs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18.05.2011 № 307-р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3 326,8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3 326,8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3 326,8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F2194" w:rsidTr="00DF2194">
        <w:trPr>
          <w:trHeight w:val="26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01.07.2011 № 446-р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6 673,089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23 326,911</w:t>
            </w:r>
          </w:p>
        </w:tc>
      </w:tr>
      <w:tr w:rsidR="00DF2194" w:rsidTr="00DF2194">
        <w:trPr>
          <w:trHeight w:val="243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-108" w:firstLine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33 326,8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33 326,8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9 999,889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23 326,911</w:t>
            </w:r>
          </w:p>
        </w:tc>
      </w:tr>
      <w:tr w:rsidR="00DF2194" w:rsidTr="00DF2194">
        <w:trPr>
          <w:trHeight w:val="339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Министерство энергетики и ЖКХ Сахалинской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  <w:p w:rsidR="00DF2194" w:rsidRDefault="00DF2194">
            <w:pPr>
              <w:ind w:firstLine="0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08.02.2011 № 55-р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1 663,222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1 663,222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1 663,222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F2194" w:rsidTr="00DF2194">
        <w:trPr>
          <w:trHeight w:val="23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15.12.2011 № 901-р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2 893,330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2 884,305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2 343,966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540,339</w:t>
            </w:r>
          </w:p>
        </w:tc>
      </w:tr>
      <w:tr w:rsidR="00DF2194" w:rsidTr="00DF2194">
        <w:trPr>
          <w:trHeight w:val="31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№ 919-р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F2194" w:rsidTr="00DF2194">
        <w:trPr>
          <w:trHeight w:val="317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4" w:rsidRDefault="00DF2194">
            <w:pPr>
              <w:overflowPunct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5 503,522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5 494,527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4 954,188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540,339</w:t>
            </w:r>
          </w:p>
        </w:tc>
      </w:tr>
      <w:tr w:rsidR="00DF2194" w:rsidTr="00DF219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Агентство спорта, туризма и молодежной политики Сахалинской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-108" w:firstLine="0"/>
              <w:rPr>
                <w:szCs w:val="24"/>
              </w:rPr>
            </w:pPr>
          </w:p>
          <w:p w:rsidR="00DF2194" w:rsidRDefault="00DF219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от 30.11.2011 № 848-р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</w:tr>
      <w:tr w:rsidR="00DF2194" w:rsidTr="00DF219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Департамент управления делами Губернатора и Правительства Сахалинской </w:t>
            </w:r>
            <w:proofErr w:type="spellStart"/>
            <w:proofErr w:type="gramStart"/>
            <w:r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-108" w:firstLine="0"/>
              <w:rPr>
                <w:szCs w:val="24"/>
              </w:rPr>
            </w:pPr>
          </w:p>
          <w:p w:rsidR="00DF2194" w:rsidRDefault="00DF2194">
            <w:pPr>
              <w:ind w:left="-108" w:firstLine="0"/>
              <w:rPr>
                <w:sz w:val="20"/>
              </w:rPr>
            </w:pPr>
            <w:r>
              <w:rPr>
                <w:sz w:val="20"/>
              </w:rPr>
              <w:t>от 27.07.2011 № 539-р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overflowPunct/>
              <w:autoSpaceDE/>
              <w:adjustRightInd/>
              <w:ind w:firstLine="0"/>
              <w:jc w:val="left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1 100,0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firstLine="0"/>
              <w:rPr>
                <w:b/>
                <w:szCs w:val="24"/>
              </w:rPr>
            </w:pPr>
          </w:p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F2194" w:rsidTr="00DF219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В С Е Г О: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94" w:rsidRDefault="00DF2194">
            <w:pPr>
              <w:ind w:left="-108" w:firstLine="0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43 130,352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43 121,327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17 795,89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1 100,0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4" w:rsidRDefault="00DF2194">
            <w:pPr>
              <w:ind w:firstLine="0"/>
              <w:rPr>
                <w:b/>
                <w:szCs w:val="24"/>
                <w:highlight w:val="red"/>
              </w:rPr>
            </w:pPr>
            <w:r>
              <w:rPr>
                <w:b/>
                <w:szCs w:val="24"/>
              </w:rPr>
              <w:t>24 225,437</w:t>
            </w:r>
          </w:p>
        </w:tc>
      </w:tr>
    </w:tbl>
    <w:p w:rsidR="00DF2194" w:rsidRDefault="00DF2194" w:rsidP="00DF2194">
      <w:pPr>
        <w:rPr>
          <w:b/>
          <w:i/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В соответствии с распоряжениями Правительства Сахалинской области (далее – РПСО) в 2011 году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выделено 43130,352 тыс. рублей. </w:t>
      </w:r>
    </w:p>
    <w:p w:rsidR="00DF2194" w:rsidRDefault="00DF2194" w:rsidP="00DF2194">
      <w:pPr>
        <w:rPr>
          <w:i/>
          <w:szCs w:val="24"/>
        </w:rPr>
      </w:pPr>
      <w:r>
        <w:rPr>
          <w:szCs w:val="24"/>
        </w:rPr>
        <w:t>На счет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 2011 году перечислено 43121,327 тыс. рублей, из них в 2011 году возвращены в доход областного бюджета 1100,0 тыс. рублей (заявка на возврат от 09.12.2011 № 145).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Фактически в 2011 году муниципальным образованием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произведены расходы выделенных в 2011 году из резервного фонда Правительства Сахалинской области денежных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 xml:space="preserve">умме 17 795,855 тыс. рублей. </w:t>
      </w:r>
    </w:p>
    <w:p w:rsidR="00DF2194" w:rsidRDefault="00DF2194" w:rsidP="00DF2194">
      <w:pPr>
        <w:rPr>
          <w:szCs w:val="24"/>
        </w:rPr>
      </w:pPr>
      <w:r>
        <w:t xml:space="preserve">В нарушение п. 3.4 </w:t>
      </w:r>
      <w:r>
        <w:rPr>
          <w:szCs w:val="24"/>
        </w:rPr>
        <w:t xml:space="preserve">постановления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средства резервного фонда, предоставленные в соответствии с распоряжениями Правительства Сахалинской области в 2011 году, не использованы в течение текущего финансового года. Не использованный остаток средств резервного фонда Правительства Сахалинской области по состоянию на 01.01.2012 составил в сумме </w:t>
      </w:r>
      <w:r>
        <w:rPr>
          <w:b/>
          <w:szCs w:val="24"/>
        </w:rPr>
        <w:t>24225,437 тыс. рублей</w:t>
      </w:r>
      <w:r>
        <w:rPr>
          <w:szCs w:val="24"/>
        </w:rPr>
        <w:t>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t xml:space="preserve">Выборочной проверкой исполнения распоряжений Правительства Сахалинской области (далее – РПСО), в части целевого и эффективного использования средств областного бюджета </w:t>
      </w:r>
      <w:r>
        <w:rPr>
          <w:szCs w:val="24"/>
        </w:rPr>
        <w:t>выделенных из резервного фонда Правительства Сахалинской области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округ», установлено следующее. </w:t>
      </w:r>
    </w:p>
    <w:p w:rsidR="00DF2194" w:rsidRDefault="00DF2194" w:rsidP="00DF2194">
      <w:pPr>
        <w:rPr>
          <w:b/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b/>
          <w:szCs w:val="24"/>
        </w:rPr>
        <w:t>РПСО от 14.02.2011 № 74-р</w:t>
      </w:r>
      <w:r>
        <w:rPr>
          <w:szCs w:val="24"/>
        </w:rPr>
        <w:t xml:space="preserve">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выделено из резервного фонда Правительства Сахалинской области (ГРБС - Министерство образования Сахалинской области) 3000,0 тыс. рублей на оснащение вводимого в действие муниципального дошкольного образовательного учреждения «Радуга»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Троицкое.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Муниципальное дошкольное образовательное учреждение  «Детский сад № 6 «Радуга» с. Троицкое (далее - МБДОУ № 6 «Радуга») создан на основании постановления мэра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от 18.01.2011 № 17-п.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Устав МБДОУ № 6 «Радуга» утвержден постановлением мэра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от 18.03.2011 № 295-п.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Согласно Уставу учредителем МБДОУ № 6 «Радуга» является отдел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 Согласно возложенных Уставом обязанностей </w:t>
      </w:r>
      <w:r>
        <w:rPr>
          <w:i/>
          <w:szCs w:val="24"/>
        </w:rPr>
        <w:t>учредитель заключает договоры, контракты</w:t>
      </w:r>
      <w:r>
        <w:rPr>
          <w:szCs w:val="24"/>
        </w:rPr>
        <w:t>, соглашения (п. 1.4 Устава).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Ассигнования, выделенные РПСО от 14.02.2011 № 74-р на</w:t>
      </w:r>
      <w:r>
        <w:rPr>
          <w:b/>
          <w:szCs w:val="24"/>
        </w:rPr>
        <w:t xml:space="preserve"> </w:t>
      </w:r>
      <w:r>
        <w:rPr>
          <w:szCs w:val="24"/>
        </w:rPr>
        <w:t>оснащение инвентарем и оборудованием МБДОУ № 6 «Радуга» в сумме 3000,0 тыс. рублей были ошибочно первоначально предусмотрены отделу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(справка об изменении росписи расходов на 2011 год от 28.02.2011 № 61).</w:t>
      </w:r>
    </w:p>
    <w:p w:rsidR="00DF2194" w:rsidRDefault="00DF2194" w:rsidP="00DF2194">
      <w:pPr>
        <w:rPr>
          <w:szCs w:val="24"/>
        </w:rPr>
      </w:pPr>
      <w:proofErr w:type="gramStart"/>
      <w:r>
        <w:rPr>
          <w:szCs w:val="24"/>
        </w:rPr>
        <w:t>С 07 апреля 2011 года МБДОУ № 6 «Радуга» передан на обслуживание по ведению бухгалтерского учета в централизованную бухгалтерию отдела образования администрации МО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(приказ отдела образования от 08.04.2011 № 169-ОД), а также включен в список подведомственных учреждений отдела образования администрации МО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(приказ отдела образования «О главном распорядителе бюджетных средств» от 14.04.2011 № 175-ДО).</w:t>
      </w:r>
      <w:proofErr w:type="gramEnd"/>
    </w:p>
    <w:p w:rsidR="00DF2194" w:rsidRDefault="00DF2194" w:rsidP="00DF2194">
      <w:pPr>
        <w:rPr>
          <w:szCs w:val="24"/>
        </w:rPr>
      </w:pPr>
      <w:r>
        <w:rPr>
          <w:szCs w:val="24"/>
        </w:rPr>
        <w:lastRenderedPageBreak/>
        <w:t>В нарушение условий вышеуказанных приказов отделом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была принята бухгалтерская документация,  обслуживание по ведению бухгалтерского учета МБДОУ № 6 «Радуга» после  07 апреля 2011 года осуществлялось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Оплата по заключенным им договорам и контрактам на общую сумму 352,087 тыс. рублей без правового основания произведена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В целях исправления сложившегося положения неизрасходованный остаток денежных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умме 2647,913 тыс. рублей был снят финансовым управлением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с отдела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(справка об изменении росписи расходов на 2011 год от 24.05.2011 № 157).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Таким образом, отдел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выступил главным распорядителем бюджетных средств на сумму 2647,913 тыс. рублей вместо 3000,0 тыс. рублей (справка об изменении росписи расходов на 2011 год от 24.05.2011 № 158).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Расходование средств, выделенных из резервного фонда правительства Сахалинской области в сумме 2379,593 тыс. рублей  произведено с нарушением ст. 219 БК РФ, в том числе: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- 352,087 тыс. рублей – произведенные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согласно заключенным им договорам, который не мог являться главным распорядителем бюджетных средств;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- 1472,811 тыс. рублей - произведенные отделом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по договорам заключенным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округ», тогда как отдел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являлся заказчиком по вышеуказанным договорам.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- 554,695 тыс. рублей – произведенные отделом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по договорам заключенным МБДОУ № 6 «Радуга», тогда как  МБДОУ № 6 «Радуга» не является главным распорядителем средств.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В нарушение норм Бюджетного кодекса РФ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принято бюджетных обязательств в большем объеме, чем выделено средств (договоры и контракты были заключены после передачи средств отделу образования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округ»).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В нарушение ст. 506 ГК РФ в договорах, заключенных муниципальным дошкольным образовательным учреждением «Радуга» не определено существенное условие договора поставки - срок исполнения обязательства поставки (договор поставки от 19.05.2011 № 807 с ООО «Сахалин-книга» на сумму 34,400 тыс. рублей, от 25.07.2011 № 65 с ИП Цой Ген </w:t>
      </w:r>
      <w:proofErr w:type="gramStart"/>
      <w:r>
        <w:rPr>
          <w:szCs w:val="24"/>
        </w:rPr>
        <w:t>Хи на</w:t>
      </w:r>
      <w:proofErr w:type="gramEnd"/>
      <w:r>
        <w:rPr>
          <w:szCs w:val="24"/>
        </w:rPr>
        <w:t xml:space="preserve"> сумму 22,005 тыс. рублей, договор поставки от 09.08.2011 № 68 с ИП Петренко А.И. </w:t>
      </w:r>
      <w:proofErr w:type="gramStart"/>
      <w:r>
        <w:rPr>
          <w:szCs w:val="24"/>
        </w:rPr>
        <w:t xml:space="preserve">на сумму 26,300 тыс. рублей, договор купли-продажи от 23.05.2011 № 43 на сумму 5,788 тыс. рублей, договор купли-продажи от 20.06.2011 № б/н с ИП Николаева В.Д. на сумму 6,951 тыс. рублей, договор поставки от 13.05.2011 № 811 с ООО «Сахалин-Книга» на сумму 2,970 тыс. рублей, договор поставки от 23.05.2011 № б/н с ИП </w:t>
      </w:r>
      <w:r>
        <w:rPr>
          <w:szCs w:val="24"/>
        </w:rPr>
        <w:lastRenderedPageBreak/>
        <w:t>Бобков А.А. на сумму 5,580 тыс. рублей</w:t>
      </w:r>
      <w:proofErr w:type="gramEnd"/>
      <w:r>
        <w:rPr>
          <w:szCs w:val="24"/>
        </w:rPr>
        <w:t>, договор поставки от 13.05.2011 № 800 с ООО «Сахалин-Книга» на сумму 50,0 тыс. рублей).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В нарушение условий контрактов,  заключенных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с  ООО «ИТ-Решение»,  поставка товаров на общую сумму 158,187 тыс. рублей не осуществлена в срок.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Неустойка за неисполнение условий контрактов в срок не предъявлена.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Так, по МК от 14.04.2011 № 4/002 на приобретение оборудования для оснащения музыкального зала в МДОУ «Радуга» упущенная выгода составила </w:t>
      </w:r>
      <w:r>
        <w:rPr>
          <w:b/>
          <w:szCs w:val="24"/>
        </w:rPr>
        <w:t>58,453 тыс. рублей</w:t>
      </w:r>
      <w:r>
        <w:rPr>
          <w:szCs w:val="24"/>
        </w:rPr>
        <w:t>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По МК от 14.04.2011 № 3/002 на поставку спортивного оборудования в МДОУ «Радуга»  упущенная выгода составила </w:t>
      </w:r>
      <w:r>
        <w:rPr>
          <w:b/>
          <w:szCs w:val="24"/>
        </w:rPr>
        <w:t>31,187 тыс. рублей</w:t>
      </w:r>
      <w:r>
        <w:rPr>
          <w:szCs w:val="24"/>
        </w:rPr>
        <w:t>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Следует отметить, что на момент проведения настоящей проверки поставка товара на сумму </w:t>
      </w:r>
      <w:r>
        <w:rPr>
          <w:b/>
          <w:szCs w:val="24"/>
        </w:rPr>
        <w:t>158,187 тыс. рублей</w:t>
      </w:r>
      <w:r>
        <w:rPr>
          <w:szCs w:val="24"/>
        </w:rPr>
        <w:t xml:space="preserve"> не осуществлена (</w:t>
      </w:r>
      <w:proofErr w:type="gramStart"/>
      <w:r>
        <w:rPr>
          <w:szCs w:val="24"/>
        </w:rPr>
        <w:t>документы, подтверждающие поставку товара к проверке не представлены</w:t>
      </w:r>
      <w:proofErr w:type="gramEnd"/>
      <w:r>
        <w:rPr>
          <w:szCs w:val="24"/>
        </w:rPr>
        <w:t>), средства возвращены в областной бюджет.</w:t>
      </w:r>
    </w:p>
    <w:p w:rsidR="00DF2194" w:rsidRDefault="00DF2194" w:rsidP="00DF2194">
      <w:pPr>
        <w:ind w:firstLine="720"/>
        <w:rPr>
          <w:szCs w:val="24"/>
        </w:rPr>
      </w:pPr>
    </w:p>
    <w:p w:rsidR="00DF2194" w:rsidRDefault="00DF2194" w:rsidP="00DF2194">
      <w:pPr>
        <w:ind w:firstLine="720"/>
        <w:rPr>
          <w:szCs w:val="24"/>
          <w:highlight w:val="green"/>
        </w:rPr>
      </w:pPr>
      <w:r>
        <w:rPr>
          <w:szCs w:val="24"/>
        </w:rPr>
        <w:t xml:space="preserve"> Кроме того, в нарушение условий договора поставки от 04.03.2011 № 34, заключенного Отделом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с ООО «</w:t>
      </w:r>
      <w:proofErr w:type="spellStart"/>
      <w:r>
        <w:rPr>
          <w:szCs w:val="24"/>
        </w:rPr>
        <w:t>КонТек</w:t>
      </w:r>
      <w:proofErr w:type="spellEnd"/>
      <w:r>
        <w:rPr>
          <w:szCs w:val="24"/>
        </w:rPr>
        <w:t>» на поставку мягкого модуля и стола дидактического на общую сумму 24,987 тыс. рублей, товар в срок не поставлен. Поставка товара произведена спустя год, после выставления поставщику претензионного письма  (счет-фактура от 07.06.2012 № 17, товарная накладная от 07.06.2012 № 17).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Оплата произведена согласно условиям договора (предоплата 100%) на основании выставленного счета от 04.03.2011 № 15 на сумму 24,987 тыс. рублей.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 В нарушение п. 11 ст. 9 Федерального закона № 94-ФЗ размер неустойки договором не определен.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Пунктом 4.1 договора предусмотрена ответственность за ненадлежащее исполнение условий договора в соответствии с ГК РФ и другим действующим законодательством.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Отдел по управлению Троицким округом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воспользовался правом взыскать неустойку за просрочку исполнения обязательств.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b/>
          <w:szCs w:val="24"/>
        </w:rPr>
        <w:t>РПСО от 01.07.2011 № 446-р</w:t>
      </w:r>
      <w:r>
        <w:rPr>
          <w:szCs w:val="24"/>
        </w:rPr>
        <w:t xml:space="preserve">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выделено из резервного фонда Правительства Сахалинской области (ГРБС - Министерство строительства Сахалинской области) 30000,0 тыс. рублей на продолжение строительства объекта «Расширение и реконструкция школы № 1 до 1266 учащихся (с увеличением на 906 учащихся) в г. Аниве».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Денежные средства в сумме 30000,0 тыс. рублей поступили на счет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</w:t>
      </w:r>
      <w:proofErr w:type="spellStart"/>
      <w:proofErr w:type="gramStart"/>
      <w:r>
        <w:rPr>
          <w:szCs w:val="24"/>
        </w:rPr>
        <w:t>пл</w:t>
      </w:r>
      <w:proofErr w:type="spellEnd"/>
      <w:proofErr w:type="gramEnd"/>
      <w:r>
        <w:rPr>
          <w:szCs w:val="24"/>
        </w:rPr>
        <w:t>/п от 12.07.2011 № 388.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проведен открытый аукцион в электронной форме по предмету: «Расширение и реконструкция школы № 1 до 1266 учащихся (с увеличением на 906 учащихся) в г. Аниве (блок </w:t>
      </w:r>
      <w:r>
        <w:rPr>
          <w:szCs w:val="24"/>
          <w:lang w:val="en-US"/>
        </w:rPr>
        <w:t>II</w:t>
      </w:r>
      <w:r>
        <w:rPr>
          <w:szCs w:val="24"/>
        </w:rPr>
        <w:t xml:space="preserve"> Б)». </w:t>
      </w:r>
      <w:proofErr w:type="gramStart"/>
      <w:r>
        <w:rPr>
          <w:szCs w:val="24"/>
        </w:rPr>
        <w:t>Начальная (максимальная) цена контракта 118806,510 тыс. рублей, срок выполнения работ 2011-2013 гг.</w:t>
      </w:r>
      <w:r>
        <w:rPr>
          <w:b/>
          <w:szCs w:val="24"/>
        </w:rPr>
        <w:t xml:space="preserve"> </w:t>
      </w:r>
      <w:r>
        <w:rPr>
          <w:szCs w:val="24"/>
        </w:rPr>
        <w:t>Согласно документации об открытом аукционе в электронной форме лимиты бюджетных обязательств по контракту составляют 118806,510 тыс. рублей, в том числе по годам: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>2011 год – 23000,0 тыс. рублей</w:t>
      </w:r>
      <w:r>
        <w:rPr>
          <w:szCs w:val="24"/>
        </w:rPr>
        <w:t xml:space="preserve">, 2012 год – 57483,906 тыс. рублей, 2013 год – 38322,604 тыс. рублей. </w:t>
      </w:r>
      <w:proofErr w:type="gramEnd"/>
    </w:p>
    <w:p w:rsidR="00DF2194" w:rsidRDefault="00DF2194" w:rsidP="00DF2194">
      <w:pPr>
        <w:rPr>
          <w:szCs w:val="24"/>
        </w:rPr>
      </w:pPr>
      <w:r>
        <w:rPr>
          <w:szCs w:val="24"/>
        </w:rPr>
        <w:t xml:space="preserve">В 2011 году аукцион приостановлен Управлением Федеральной антимонопольной службы по Сахалинской области (уведомление-требование от 10.11.2011 № 05-4732) в </w:t>
      </w:r>
      <w:r>
        <w:rPr>
          <w:szCs w:val="24"/>
        </w:rPr>
        <w:lastRenderedPageBreak/>
        <w:t>связи с принятием к рассмотрению жалобы на действия администрации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при проведении открытого аукциона.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Нового размещения заказа по предмету: «Расширение и реконструкция школы № 1 до 1266 учащихся (с увеличением на 906 учащихся) в г. Аниве (блок </w:t>
      </w:r>
      <w:r>
        <w:rPr>
          <w:szCs w:val="24"/>
          <w:lang w:val="en-US"/>
        </w:rPr>
        <w:t>II</w:t>
      </w:r>
      <w:r>
        <w:rPr>
          <w:szCs w:val="24"/>
        </w:rPr>
        <w:t xml:space="preserve"> Б)» до момента проведения настоящей проверки не производилось, контракт не заключен. 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Расходование денежных средств, выделенных из резервного фонда Правительства Сахалинской области согласно РПСО от 01.07.2011 № 446-р, произведено в 2011 году в сумме 6673,089 тыс. рублей, согласно договору технологического присоединения от 30.12.2010 № 239-18/11.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В нарушение ст. 3 Федерального закона № 94-ФЗ договор технологического присоединения заключен без обеспечения источника финансирования заказа.</w:t>
      </w:r>
    </w:p>
    <w:p w:rsidR="00DF2194" w:rsidRDefault="00DF2194" w:rsidP="00DF2194">
      <w:pPr>
        <w:overflowPunct/>
        <w:ind w:firstLine="720"/>
        <w:rPr>
          <w:szCs w:val="24"/>
        </w:rPr>
      </w:pPr>
      <w:r>
        <w:rPr>
          <w:szCs w:val="24"/>
          <w:lang w:eastAsia="ru-RU"/>
        </w:rPr>
        <w:t>Так, до</w:t>
      </w:r>
      <w:r>
        <w:rPr>
          <w:szCs w:val="24"/>
        </w:rPr>
        <w:t>говор технологического присоединения был заключен 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 2010 году. Оплата по договору технологического присоединения произведена за счет средств, выделенных из резервного фонда Правительства Сахалинской области в 2011 году (РПСО от 01.07.2011).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На момент поступления денежных средств из резервного фонда Правительства Сахалинской области (</w:t>
      </w:r>
      <w:proofErr w:type="spellStart"/>
      <w:proofErr w:type="gramStart"/>
      <w:r>
        <w:rPr>
          <w:szCs w:val="24"/>
        </w:rPr>
        <w:t>пл</w:t>
      </w:r>
      <w:proofErr w:type="spellEnd"/>
      <w:proofErr w:type="gramEnd"/>
      <w:r>
        <w:rPr>
          <w:szCs w:val="24"/>
        </w:rPr>
        <w:t>/п от 12.07.2011 № 388) работы предусмотренные договором технологического присоединения должны быть выполнены, оплата за выполненные работы должна быть произведена в полном объеме.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Кроме  того, в нарушение п. 2 ст. 9 </w:t>
      </w:r>
      <w:r>
        <w:rPr>
          <w:szCs w:val="24"/>
          <w:lang w:eastAsia="ru-RU"/>
        </w:rPr>
        <w:t xml:space="preserve">Федерального </w:t>
      </w:r>
      <w:hyperlink r:id="rId7" w:history="1">
        <w:proofErr w:type="gramStart"/>
        <w:r>
          <w:rPr>
            <w:rStyle w:val="a3"/>
            <w:color w:val="auto"/>
            <w:szCs w:val="24"/>
            <w:u w:val="none"/>
            <w:lang w:eastAsia="ru-RU"/>
          </w:rPr>
          <w:t>закон</w:t>
        </w:r>
        <w:proofErr w:type="gramEnd"/>
      </w:hyperlink>
      <w:r>
        <w:rPr>
          <w:szCs w:val="24"/>
          <w:lang w:eastAsia="ru-RU"/>
        </w:rPr>
        <w:t xml:space="preserve">а от 21.11.1996 N 129-ФЗ "О бухгалтерском учете" </w:t>
      </w:r>
      <w:r>
        <w:rPr>
          <w:szCs w:val="24"/>
        </w:rPr>
        <w:t>акт выполнения договорных обязательств не содержит обязательных реквизитов (дату составления документа), что не позволяет определить дату фактического выполнения работ по договору технологического присоединения. Счет-фактура от 26.12.2011 № 055-04359 представлен к проверке на общую сумму 6673,089 тыс. рублей.</w:t>
      </w:r>
    </w:p>
    <w:p w:rsidR="00DF2194" w:rsidRDefault="00DF2194" w:rsidP="00DF2194">
      <w:pPr>
        <w:overflowPunct/>
        <w:ind w:firstLine="720"/>
        <w:outlineLvl w:val="0"/>
        <w:rPr>
          <w:szCs w:val="24"/>
        </w:rPr>
      </w:pPr>
      <w:r>
        <w:rPr>
          <w:szCs w:val="24"/>
        </w:rPr>
        <w:t>Следует отметить, что согласно представленному к проверке  журналу регистраций контрактов договор технологического присоединения от 30.12.2010 № 239-18/11 на сумму 6673,089 тыс. рублей был заключен в соответствии с  п. 1 ч. 2 ст. 55 Федерального закона № 94-ФЗ без проведения процедуры размещения заказа с единственным поставщиком ОАО «Сахалинэнерго». Ссылка на основания заключения договора с единственным поставщиком в договоре отсутствует.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Неиспользованный остаток денежных средств выделенных РПСО от 01.07.2011 № 446-р в сумме 23326,911 тыс. рублей  (30000,0 - 6673,089) возвращен на единый счет областного бюджета в 2012 году (заявка на возврат от 26.01.2012 № 198). </w:t>
      </w:r>
    </w:p>
    <w:p w:rsidR="00DF2194" w:rsidRDefault="00DF2194" w:rsidP="00DF2194">
      <w:pPr>
        <w:rPr>
          <w:b/>
          <w:szCs w:val="24"/>
        </w:rPr>
      </w:pPr>
    </w:p>
    <w:p w:rsidR="00DF2194" w:rsidRDefault="00DF2194" w:rsidP="00DF2194">
      <w:pPr>
        <w:rPr>
          <w:szCs w:val="24"/>
        </w:rPr>
      </w:pPr>
      <w:bookmarkStart w:id="1" w:name="OLE_LINK4"/>
      <w:bookmarkStart w:id="2" w:name="OLE_LINK3"/>
      <w:r>
        <w:rPr>
          <w:b/>
          <w:szCs w:val="24"/>
        </w:rPr>
        <w:t>РПСО от 15.12.2011 № 901-р</w:t>
      </w:r>
      <w:bookmarkEnd w:id="1"/>
      <w:bookmarkEnd w:id="2"/>
      <w:r>
        <w:rPr>
          <w:szCs w:val="24"/>
        </w:rPr>
        <w:t xml:space="preserve">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выделено из резервного фонда Правительства Сахалинской области (ГРБС -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Министерство энергетики и жилищно-коммунального хозяйства Сахалинской области) 3000,0 тыс. рублей (на капитальный ремонт моста по дороге на кладбище  с. </w:t>
      </w:r>
      <w:proofErr w:type="spellStart"/>
      <w:r>
        <w:rPr>
          <w:szCs w:val="24"/>
        </w:rPr>
        <w:t>Мицулевка</w:t>
      </w:r>
      <w:proofErr w:type="spellEnd"/>
      <w:r>
        <w:rPr>
          <w:szCs w:val="24"/>
        </w:rPr>
        <w:t xml:space="preserve"> – 471 тыс. рублей; на капитальный ремонт освещения в г. Анива – 342 тыс. рублей; </w:t>
      </w:r>
      <w:proofErr w:type="gramStart"/>
      <w:r>
        <w:rPr>
          <w:szCs w:val="24"/>
        </w:rPr>
        <w:t xml:space="preserve">на ремонт улично-дорожной сети в населенных пунктах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(г. </w:t>
      </w:r>
      <w:proofErr w:type="spellStart"/>
      <w:r>
        <w:rPr>
          <w:szCs w:val="24"/>
        </w:rPr>
        <w:t>Пнива</w:t>
      </w:r>
      <w:proofErr w:type="spellEnd"/>
      <w:r>
        <w:rPr>
          <w:szCs w:val="24"/>
        </w:rPr>
        <w:t xml:space="preserve">, с. Троицкое) – 836 тыс. рублей; на ремонт дорожного покрытия по ул. Строительной, Кирпичной, Лесной в с. </w:t>
      </w:r>
      <w:proofErr w:type="spellStart"/>
      <w:r>
        <w:rPr>
          <w:szCs w:val="24"/>
        </w:rPr>
        <w:t>Таранай</w:t>
      </w:r>
      <w:proofErr w:type="spellEnd"/>
      <w:r>
        <w:rPr>
          <w:szCs w:val="24"/>
        </w:rPr>
        <w:t>; по ул. Звездная в с. Петропавловское – 361 тыс. рублей; на восстановление кюветов по ул. Лесной, Зеленой, Эстакадной в г. Анива – 365 тыс. рублей;</w:t>
      </w:r>
      <w:proofErr w:type="gramEnd"/>
      <w:r>
        <w:rPr>
          <w:szCs w:val="24"/>
        </w:rPr>
        <w:t xml:space="preserve"> на капитальный ремонт освещения в населенных пунктах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(с. Ново-Троицкое, с. Успенское) – </w:t>
      </w:r>
      <w:r>
        <w:rPr>
          <w:i/>
          <w:szCs w:val="24"/>
        </w:rPr>
        <w:t>435</w:t>
      </w:r>
      <w:r>
        <w:rPr>
          <w:szCs w:val="24"/>
        </w:rPr>
        <w:t xml:space="preserve"> тыс. рублей; на разбор и вывоз </w:t>
      </w:r>
      <w:proofErr w:type="spellStart"/>
      <w:r>
        <w:rPr>
          <w:szCs w:val="24"/>
        </w:rPr>
        <w:t>ветких</w:t>
      </w:r>
      <w:proofErr w:type="spellEnd"/>
      <w:r>
        <w:rPr>
          <w:szCs w:val="24"/>
        </w:rPr>
        <w:t xml:space="preserve"> строений по ул. Гоголя, </w:t>
      </w:r>
      <w:proofErr w:type="gramStart"/>
      <w:r>
        <w:rPr>
          <w:szCs w:val="24"/>
        </w:rPr>
        <w:t>Первомайской</w:t>
      </w:r>
      <w:proofErr w:type="gramEnd"/>
      <w:r>
        <w:rPr>
          <w:szCs w:val="24"/>
        </w:rPr>
        <w:t xml:space="preserve"> а г. Анива – 190 тыс. рублей).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РПСО от 29.12.2011 № 976-р внесено изменение, цифры «3000,0» заменены цифрами «2893,330», цифры «435» цифрами «328,330».</w:t>
      </w:r>
    </w:p>
    <w:p w:rsidR="00DF2194" w:rsidRDefault="00DF2194" w:rsidP="00DF2194">
      <w:pPr>
        <w:jc w:val="right"/>
        <w:rPr>
          <w:szCs w:val="24"/>
          <w:u w:val="single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lastRenderedPageBreak/>
        <w:t>Во исполнение РПСО от 15.12.2011 № 901-р по результатам проведения процедур размещения заказов (запроса котировок, аукционов) 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было заключено семь муниципальных контрактов на ремонт и восстановление дорожной сети, кюветов и моста, а также на вывоз ветхих строений и ремонт освещения на общую сумму 2884,305 тыс. рублей.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В нарушение ст. 3 Федерального закона № 94-ФЗ вышеуказанные контракты заключены без обеспечения источника финансирования заказа.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Так, РПСО № 901-р о выделении средств издано 15.12.2011, процедуры размещения заказов на заключение вышеуказанных контрактов произведены до  выхода РПСО № 901-р, в ноябре 2011 года.</w:t>
      </w:r>
    </w:p>
    <w:p w:rsidR="00DF2194" w:rsidRDefault="00DF2194" w:rsidP="00DF2194">
      <w:pPr>
        <w:ind w:firstLine="720"/>
        <w:rPr>
          <w:szCs w:val="24"/>
        </w:rPr>
      </w:pPr>
    </w:p>
    <w:p w:rsidR="00DF2194" w:rsidRDefault="00DF2194" w:rsidP="00DF2194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Причиной не освоения денежных средств в сумме 540,339 тыс. рублей явилось нарушение Подрядчиком (ЗАО «Обновление-Трейд») условий контракта от 12.12.2011 № 27-Л «Ремонт улично-дорожной сети в населенных пунктах </w:t>
      </w:r>
      <w:proofErr w:type="spellStart"/>
      <w:r>
        <w:rPr>
          <w:szCs w:val="24"/>
        </w:rPr>
        <w:t>Анивского</w:t>
      </w:r>
      <w:proofErr w:type="spellEnd"/>
      <w:r>
        <w:rPr>
          <w:szCs w:val="24"/>
        </w:rPr>
        <w:t xml:space="preserve"> городского округа (г. Анива, с. Троицкое) в части сроков выполнения работ.</w:t>
      </w:r>
      <w:proofErr w:type="gramEnd"/>
      <w:r>
        <w:rPr>
          <w:szCs w:val="24"/>
        </w:rPr>
        <w:t xml:space="preserve"> Согласно п. 1.3. контракта срок выполнения работ - 14 календарных дней с момента подписания контракта (до 26 декабря 2011 года). 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Администрация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не воспользовалась правом, предусмотренным п. 5.3. контракта взыскать пеню в размере одной трехсотой действующей на день уплаты пени ставки рефинансирования ЦБ РФ от стоимости контракта за каждый день </w:t>
      </w:r>
      <w:proofErr w:type="gramStart"/>
      <w:r>
        <w:rPr>
          <w:szCs w:val="24"/>
        </w:rPr>
        <w:t>не исполнения</w:t>
      </w:r>
      <w:proofErr w:type="gramEnd"/>
      <w:r>
        <w:rPr>
          <w:szCs w:val="24"/>
        </w:rPr>
        <w:t xml:space="preserve"> обязательств.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Неиспользованный остаток денежных сре</w:t>
      </w:r>
      <w:proofErr w:type="gramStart"/>
      <w:r>
        <w:rPr>
          <w:szCs w:val="24"/>
        </w:rPr>
        <w:t>дств в с</w:t>
      </w:r>
      <w:proofErr w:type="gramEnd"/>
      <w:r>
        <w:rPr>
          <w:szCs w:val="24"/>
        </w:rPr>
        <w:t>умме 540,339 тыс. рублей возвращен на единый счет областного бюджета в 2012 году (заявка на возврат от 26.01.2012 № 202).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Согласно уведомлению по расчетам между бюджетами по межбюджетным трансфертам от 13.02.2012 № 10/044 неиспользованный остаток в сумме 540,339 тыс. рублей подлежит возврату, потребность в неиспользованных остатках в 2012 году не подтверждена.</w:t>
      </w:r>
    </w:p>
    <w:p w:rsidR="00DF2194" w:rsidRDefault="00DF2194" w:rsidP="00DF2194">
      <w:pPr>
        <w:ind w:firstLine="720"/>
        <w:rPr>
          <w:szCs w:val="24"/>
        </w:rPr>
      </w:pPr>
    </w:p>
    <w:p w:rsidR="00DF2194" w:rsidRDefault="00DF2194" w:rsidP="00DF2194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Проверкой полноты исполнения работ, предусмотренных муниципальным контрактом от 08.12.2011 № Т-1 «Капитальный ремонт моста по дороге на кладбище в с. </w:t>
      </w:r>
      <w:proofErr w:type="spellStart"/>
      <w:r>
        <w:rPr>
          <w:szCs w:val="24"/>
        </w:rPr>
        <w:t>Мицулевка</w:t>
      </w:r>
      <w:proofErr w:type="spellEnd"/>
      <w:r>
        <w:rPr>
          <w:szCs w:val="24"/>
        </w:rPr>
        <w:t>» заключенным между 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и ООО «</w:t>
      </w:r>
      <w:proofErr w:type="spellStart"/>
      <w:r>
        <w:rPr>
          <w:szCs w:val="24"/>
        </w:rPr>
        <w:t>Анивское</w:t>
      </w:r>
      <w:proofErr w:type="spellEnd"/>
      <w:r>
        <w:rPr>
          <w:szCs w:val="24"/>
        </w:rPr>
        <w:t xml:space="preserve"> строительно-монтажное управление» на сумму 476,382 тыс. рублей,  установлено нарушение требований Федерального закона № 94-ФЗ, в части изменения объема и видов работ, предусмотренных контрактом. </w:t>
      </w:r>
      <w:proofErr w:type="gramEnd"/>
    </w:p>
    <w:p w:rsidR="00DF2194" w:rsidRDefault="00DF2194" w:rsidP="00DF2194">
      <w:pPr>
        <w:ind w:firstLine="720"/>
      </w:pPr>
      <w:r>
        <w:rPr>
          <w:szCs w:val="24"/>
        </w:rPr>
        <w:t xml:space="preserve">Замена работ согласована </w:t>
      </w:r>
      <w:r>
        <w:rPr>
          <w:szCs w:val="24"/>
          <w:lang w:eastAsia="ru-RU"/>
        </w:rPr>
        <w:t>администрацией муниципального образования «</w:t>
      </w:r>
      <w:proofErr w:type="spellStart"/>
      <w:r>
        <w:rPr>
          <w:szCs w:val="24"/>
          <w:lang w:eastAsia="ru-RU"/>
        </w:rPr>
        <w:t>Анивский</w:t>
      </w:r>
      <w:proofErr w:type="spellEnd"/>
      <w:r>
        <w:rPr>
          <w:szCs w:val="24"/>
          <w:lang w:eastAsia="ru-RU"/>
        </w:rPr>
        <w:t xml:space="preserve"> городской округ» </w:t>
      </w:r>
      <w:r>
        <w:rPr>
          <w:szCs w:val="24"/>
        </w:rPr>
        <w:t xml:space="preserve">до заключения муниципального контракта (05.12.2011). Работы, предусмотренные техническим заданием и локальным сметным расчетом (монолитной бетонной плиты) заменены на сборные </w:t>
      </w:r>
      <w:proofErr w:type="gramStart"/>
      <w:r>
        <w:rPr>
          <w:szCs w:val="24"/>
        </w:rPr>
        <w:t>ж/б</w:t>
      </w:r>
      <w:proofErr w:type="gramEnd"/>
      <w:r>
        <w:rPr>
          <w:szCs w:val="24"/>
        </w:rPr>
        <w:t xml:space="preserve"> балки.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Стоимость новых работ (сборные </w:t>
      </w:r>
      <w:proofErr w:type="gramStart"/>
      <w:r>
        <w:rPr>
          <w:szCs w:val="24"/>
        </w:rPr>
        <w:t>ж/б</w:t>
      </w:r>
      <w:proofErr w:type="gramEnd"/>
      <w:r>
        <w:rPr>
          <w:szCs w:val="24"/>
        </w:rPr>
        <w:t xml:space="preserve"> балки) определена без и проведения мониторинга цен и признана равноценной стоимости работ, предусмотренных в локально-сметном расчете (монолитной бетонной плиты).</w:t>
      </w:r>
    </w:p>
    <w:p w:rsidR="00DF2194" w:rsidRDefault="00DF2194" w:rsidP="00DF2194">
      <w:pPr>
        <w:overflowPunct/>
        <w:ind w:firstLine="720"/>
        <w:rPr>
          <w:szCs w:val="24"/>
          <w:lang w:eastAsia="ru-RU"/>
        </w:rPr>
      </w:pPr>
      <w:r>
        <w:rPr>
          <w:szCs w:val="24"/>
          <w:lang w:eastAsia="ru-RU"/>
        </w:rPr>
        <w:t>В соответствии с ч. 10 ст. 65 Федерального закона № 94-ФЗ после 1 января 2010 года заказчик утратил право на изменение указанных условий государственного контракта, в том числе и по согласованию с поставщиком (исполнителем, подрядчиком).</w:t>
      </w:r>
    </w:p>
    <w:p w:rsidR="00DF2194" w:rsidRDefault="00DF2194" w:rsidP="00DF2194">
      <w:pPr>
        <w:overflowPunct/>
        <w:ind w:firstLine="720"/>
        <w:rPr>
          <w:szCs w:val="24"/>
          <w:lang w:eastAsia="ru-RU"/>
        </w:rPr>
      </w:pPr>
      <w:r>
        <w:rPr>
          <w:szCs w:val="24"/>
          <w:lang w:eastAsia="ru-RU"/>
        </w:rPr>
        <w:t>Таким образом, в нарушение требований Федерального закона № 94-ФЗ администрацией муниципального образования «</w:t>
      </w:r>
      <w:proofErr w:type="spellStart"/>
      <w:r>
        <w:rPr>
          <w:szCs w:val="24"/>
          <w:lang w:eastAsia="ru-RU"/>
        </w:rPr>
        <w:t>Анивский</w:t>
      </w:r>
      <w:proofErr w:type="spellEnd"/>
      <w:r>
        <w:rPr>
          <w:szCs w:val="24"/>
          <w:lang w:eastAsia="ru-RU"/>
        </w:rPr>
        <w:t xml:space="preserve"> городской округ» неправомерно были изменены </w:t>
      </w:r>
      <w:r>
        <w:rPr>
          <w:i/>
          <w:szCs w:val="24"/>
          <w:lang w:eastAsia="ru-RU"/>
        </w:rPr>
        <w:t>виды</w:t>
      </w:r>
      <w:r>
        <w:rPr>
          <w:szCs w:val="24"/>
          <w:lang w:eastAsia="ru-RU"/>
        </w:rPr>
        <w:t xml:space="preserve"> работ, предусмотренные техническим заданием и локальным сметным расчетом.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В нарушение п. 2.2. контракта  (срок выполнения работ до 16.12.2011) работы выполнены  позже на 5 календарных дней  (акт о приемке выполненных работ от 21.12.2011 № 1).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lastRenderedPageBreak/>
        <w:t>Пунктом 10.2 контракта предусмотрено право потребовать неустойку за каждый день просрочки в размере 0,1% от цены контракта.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Администрация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своим правом по востребованию неустойки не воспользовалась. </w:t>
      </w:r>
    </w:p>
    <w:p w:rsidR="00DF2194" w:rsidRDefault="00DF2194" w:rsidP="00DF2194">
      <w:pPr>
        <w:rPr>
          <w:szCs w:val="24"/>
        </w:rPr>
      </w:pPr>
      <w:r>
        <w:rPr>
          <w:szCs w:val="24"/>
        </w:rPr>
        <w:t>Упущенная выгода по состоянию 21.12.2011 составила 0,655 тыс. рублей. Расчет начисления суммы неустойки прилагается, приложение № 5.</w:t>
      </w:r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proofErr w:type="gramStart"/>
      <w:r>
        <w:rPr>
          <w:szCs w:val="24"/>
        </w:rPr>
        <w:t>Причиной не исполнения РПСО от 30.11.2011 № 848-р о выделении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из резервного фонда Правительства Сахалинской области (ГРБС - Агентство спорта, туризма и молодежной политики Сахалинской области) 200,0 тыс. рублей на приобретение профессиональной хоккейной амуниции для хоккейной команды «Анива» явилось позднее заключение контракта (31.12.2011) и соответственно сроки его исполнения в 2012 году.</w:t>
      </w:r>
      <w:proofErr w:type="gramEnd"/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proofErr w:type="gramStart"/>
      <w:r>
        <w:rPr>
          <w:szCs w:val="24"/>
        </w:rPr>
        <w:t>Причиной не исполнения</w:t>
      </w:r>
      <w:r>
        <w:rPr>
          <w:b/>
          <w:szCs w:val="24"/>
        </w:rPr>
        <w:t xml:space="preserve"> </w:t>
      </w:r>
      <w:r>
        <w:rPr>
          <w:szCs w:val="24"/>
        </w:rPr>
        <w:t>РПСО от 27.07.2011 № 539-р о выделении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из резервного фонда Правительства Сахалинской области (ГРБС - Департамент управления делами Губернатора и Правительства Сахалинской области) 1100,0 тыс. рублей с целью приобретения автобуса в честь 125-летия города Анивы явилось позднее заключение контракта (22.11.2011) и соответственно сроки его исполнения в 2012 году.</w:t>
      </w:r>
      <w:proofErr w:type="gramEnd"/>
    </w:p>
    <w:p w:rsidR="00DF2194" w:rsidRDefault="00DF2194" w:rsidP="00DF2194">
      <w:pPr>
        <w:rPr>
          <w:szCs w:val="24"/>
        </w:rPr>
      </w:pPr>
    </w:p>
    <w:p w:rsidR="00DF2194" w:rsidRDefault="00DF2194" w:rsidP="00DF2194">
      <w:pPr>
        <w:rPr>
          <w:szCs w:val="24"/>
        </w:rPr>
      </w:pPr>
      <w:r>
        <w:rPr>
          <w:szCs w:val="24"/>
        </w:rPr>
        <w:t>Проверкой исполнения 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требований постановления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в части предоставления отчета о расходовании средств в установленные сроки установлено следующее.</w:t>
      </w:r>
    </w:p>
    <w:p w:rsidR="00DF2194" w:rsidRDefault="00DF2194" w:rsidP="00DF2194">
      <w:pPr>
        <w:rPr>
          <w:szCs w:val="24"/>
        </w:rPr>
      </w:pPr>
      <w:proofErr w:type="gramStart"/>
      <w:r>
        <w:rPr>
          <w:szCs w:val="24"/>
        </w:rPr>
        <w:t>На отдельных представленных к проверке отчетах не указан получатель отчета, нет исходящего номера и даты (сопроводительное письмо к проверке не представлено), отдельные отчеты  представлены без подписи руководителя финансового управления и главного бухгалтера, что не подтверждает исполнение требований Постановления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в части предоставления</w:t>
      </w:r>
      <w:proofErr w:type="gramEnd"/>
      <w:r>
        <w:rPr>
          <w:szCs w:val="24"/>
        </w:rPr>
        <w:t xml:space="preserve"> отчета о расходовании средств в установленные сроки.</w:t>
      </w:r>
    </w:p>
    <w:p w:rsidR="00DF2194" w:rsidRDefault="00DF2194" w:rsidP="00DF2194">
      <w:pPr>
        <w:pStyle w:val="3"/>
        <w:numPr>
          <w:ilvl w:val="12"/>
          <w:numId w:val="0"/>
        </w:numPr>
        <w:spacing w:after="0"/>
        <w:ind w:firstLine="709"/>
        <w:rPr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не представлено. </w:t>
      </w:r>
    </w:p>
    <w:p w:rsidR="00DF2194" w:rsidRDefault="00DF2194" w:rsidP="00DF2194">
      <w:pPr>
        <w:pStyle w:val="3"/>
        <w:numPr>
          <w:ilvl w:val="12"/>
          <w:numId w:val="0"/>
        </w:numPr>
        <w:spacing w:after="0"/>
        <w:ind w:firstLine="709"/>
        <w:jc w:val="both"/>
        <w:rPr>
          <w:i/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9. Выводы:</w:t>
      </w:r>
    </w:p>
    <w:p w:rsidR="00DF2194" w:rsidRDefault="00DF2194" w:rsidP="00DF2194">
      <w:r>
        <w:rPr>
          <w:szCs w:val="24"/>
        </w:rPr>
        <w:t xml:space="preserve">9.1. </w:t>
      </w:r>
      <w:proofErr w:type="gramStart"/>
      <w:r>
        <w:t>Расходование средств резервного фонда Правительства Сахалинской области производилось в проверяемом периоде, без соблюдения принципа результативности и эффективности использования средств областного бюджета, установленного статьей 34 Бюджетного кодекса РФ, согласно которому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 определенного бюджетом объема средств</w:t>
      </w:r>
      <w:proofErr w:type="gramEnd"/>
      <w:r>
        <w:t>.</w:t>
      </w:r>
    </w:p>
    <w:p w:rsidR="00DF2194" w:rsidRDefault="00DF2194" w:rsidP="00DF2194">
      <w:r>
        <w:t xml:space="preserve">Проверкой установлено неэффективные расходы средств  областного бюджета (возвращено в областной бюджет неиспользованных ассигнований) в общей сумме 27913,915 тыс. рублей (503,478+3385+158,187+23326,911+540,339), в том числе </w:t>
      </w:r>
      <w:r>
        <w:lastRenderedPageBreak/>
        <w:t>расходование остатка средств по состоянию на 01.01.2011 в общей сумме 3888,478 тыс. рублей (503,478+3385).</w:t>
      </w:r>
    </w:p>
    <w:p w:rsidR="00DF2194" w:rsidRDefault="00DF2194" w:rsidP="00DF2194">
      <w:pPr>
        <w:rPr>
          <w:szCs w:val="24"/>
        </w:rPr>
      </w:pPr>
      <w:r>
        <w:t xml:space="preserve">9.2. В нарушение п. 3.4 </w:t>
      </w:r>
      <w:r>
        <w:rPr>
          <w:szCs w:val="24"/>
        </w:rPr>
        <w:t xml:space="preserve">постановления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средства резервного фонда, предоставленные в соответствии с распоряжениями Правительства Сахалинской области в 2011 году, не использованы в течение текущего финансового года. Не использованный остаток средств резервного фонда Правительства Сахалинской области по состоянию на 01.01.2012 составил в сумме </w:t>
      </w:r>
      <w:r>
        <w:rPr>
          <w:b/>
          <w:szCs w:val="24"/>
        </w:rPr>
        <w:t>24225,437 тыс. рублей</w:t>
      </w:r>
      <w:r>
        <w:rPr>
          <w:szCs w:val="24"/>
        </w:rPr>
        <w:t>.</w:t>
      </w:r>
    </w:p>
    <w:p w:rsidR="00DF2194" w:rsidRDefault="00DF2194" w:rsidP="00DF2194">
      <w:pPr>
        <w:ind w:firstLine="720"/>
      </w:pPr>
      <w:r>
        <w:rPr>
          <w:szCs w:val="24"/>
        </w:rPr>
        <w:t xml:space="preserve">9.3. </w:t>
      </w:r>
      <w:r>
        <w:t>Муниципальным образованием допущены нарушения норм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 (продление срока действия договоров, изменение видов работ).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В проверяемом периоде имели место случаи приостановления аукционов Управлением Федеральной антимонопольной службы по Сахалинской области, в результате нарушения администрацией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требований Федерального закона № 94-ФЗ при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кционов, что привело к не исполнению РПСО о выделении средств резервного фонда.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 xml:space="preserve"> В нарушение ст. 3 Федерального закона № 94-ФЗ отдельные договоры (контракты) были заключены без обеспечения источника финансирования заказа.</w:t>
      </w:r>
    </w:p>
    <w:p w:rsidR="00DF2194" w:rsidRDefault="00DF2194" w:rsidP="00DF2194">
      <w:pPr>
        <w:pStyle w:val="a4"/>
        <w:spacing w:after="0"/>
        <w:ind w:left="0" w:firstLine="720"/>
        <w:jc w:val="both"/>
        <w:rPr>
          <w:bCs/>
          <w:lang w:val="ru-RU"/>
        </w:rPr>
      </w:pPr>
      <w:r>
        <w:t>9.</w:t>
      </w:r>
      <w:r>
        <w:rPr>
          <w:lang w:val="ru-RU"/>
        </w:rPr>
        <w:t>4</w:t>
      </w:r>
      <w:r>
        <w:t xml:space="preserve">. Не на должном уровне находится претензионная работа.  </w:t>
      </w:r>
      <w:r>
        <w:rPr>
          <w:lang w:val="ru-RU"/>
        </w:rPr>
        <w:t>Меры по взысканию неустойки за невыполнение (несвоевременное выполнение) работ в судебном порядке в большинстве случаев не принимались, упущенная выгода составила 815,253 тыс. рублей (329,413+7,95+218,949+227,754+31,187).</w:t>
      </w:r>
    </w:p>
    <w:p w:rsidR="00DF2194" w:rsidRDefault="00DF2194" w:rsidP="00DF2194">
      <w:pPr>
        <w:ind w:firstLine="720"/>
      </w:pPr>
      <w:r>
        <w:t xml:space="preserve">9.5. В проверяемом периоде не приняты меры по взысканию переплаты  (соответственно не возвращены в областной бюджет) в сумме 215,776 тыс. рублей с Подрядчика (ООО «Ринг») по МК от 28.09.2009 № 5 «Устройство наружного ограждения общеобразовательного учреждения «Средняя общеобразовательная школа с. </w:t>
      </w:r>
      <w:proofErr w:type="spellStart"/>
      <w:r>
        <w:t>Таранай</w:t>
      </w:r>
      <w:proofErr w:type="spellEnd"/>
      <w:r>
        <w:t xml:space="preserve">». </w:t>
      </w:r>
    </w:p>
    <w:p w:rsidR="00DF2194" w:rsidRDefault="00DF2194" w:rsidP="00DF2194">
      <w:r>
        <w:rPr>
          <w:szCs w:val="24"/>
        </w:rPr>
        <w:t xml:space="preserve">9.6. С нарушением ст. 219 Бюджетного кодекса РФ произведено расходование средств, выделенных из резервного фонда правительства Сахалинской </w:t>
      </w:r>
      <w:proofErr w:type="gramStart"/>
      <w:r>
        <w:rPr>
          <w:szCs w:val="24"/>
        </w:rPr>
        <w:t>области</w:t>
      </w:r>
      <w:proofErr w:type="gramEnd"/>
      <w:r>
        <w:rPr>
          <w:szCs w:val="24"/>
        </w:rPr>
        <w:t xml:space="preserve"> на оснащение вводимого в действие муниципального дошкольного образовательного учреждения «Радуга» в с. Троицкое  в сумме 2379,593 тыс. рублей. 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9.7. Причиной не исполнения отдельных РПСО о выделении муниципальному образованию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из резервного фонда Правительства Сахалинской области денежных средств явилось позднее заключение контрактов и соответственно сроки их исполнения в следующем году.</w:t>
      </w:r>
    </w:p>
    <w:p w:rsidR="00DF2194" w:rsidRDefault="00DF2194" w:rsidP="00DF2194">
      <w:pPr>
        <w:ind w:firstLine="720"/>
        <w:rPr>
          <w:szCs w:val="24"/>
        </w:rPr>
      </w:pPr>
      <w:r>
        <w:t>9.8. Администрацией муниципального образования «</w:t>
      </w:r>
      <w:proofErr w:type="spellStart"/>
      <w:r>
        <w:t>Анивский</w:t>
      </w:r>
      <w:proofErr w:type="spellEnd"/>
      <w:r>
        <w:t xml:space="preserve"> городской округ» </w:t>
      </w:r>
      <w:r>
        <w:rPr>
          <w:szCs w:val="24"/>
        </w:rPr>
        <w:t xml:space="preserve">не подтверждено </w:t>
      </w:r>
      <w:r>
        <w:t xml:space="preserve">исполнение </w:t>
      </w:r>
      <w:r>
        <w:rPr>
          <w:szCs w:val="24"/>
        </w:rPr>
        <w:t>требований постановления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в части предоставления отчета о расходовании средств в установленные сроки.</w:t>
      </w:r>
    </w:p>
    <w:p w:rsidR="00DF2194" w:rsidRDefault="00DF2194" w:rsidP="00DF2194">
      <w:pPr>
        <w:ind w:firstLine="720"/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10. Предложения:</w:t>
      </w:r>
    </w:p>
    <w:p w:rsidR="00DF2194" w:rsidRDefault="00DF2194" w:rsidP="00DF2194">
      <w:pPr>
        <w:ind w:firstLine="720"/>
        <w:rPr>
          <w:szCs w:val="24"/>
        </w:rPr>
      </w:pPr>
      <w:r>
        <w:rPr>
          <w:szCs w:val="24"/>
        </w:rPr>
        <w:t>10.1.  Направить мэру муниципального образования «</w:t>
      </w:r>
      <w:proofErr w:type="spellStart"/>
      <w:r>
        <w:rPr>
          <w:szCs w:val="24"/>
        </w:rPr>
        <w:t>Анивский</w:t>
      </w:r>
      <w:proofErr w:type="spellEnd"/>
      <w:r>
        <w:rPr>
          <w:szCs w:val="24"/>
        </w:rPr>
        <w:t xml:space="preserve"> городской округ» представление </w:t>
      </w:r>
      <w:r>
        <w:t>для рассмотрения по существу и принятия мер по устранению выявленных недостатков и нарушений.</w:t>
      </w: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sz w:val="24"/>
          <w:szCs w:val="24"/>
        </w:rPr>
      </w:pP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Аудитор контрольно-счетной палаты </w:t>
      </w:r>
    </w:p>
    <w:p w:rsidR="00DF2194" w:rsidRDefault="00DF2194" w:rsidP="00DF2194">
      <w:pPr>
        <w:pStyle w:val="3"/>
        <w:numPr>
          <w:ilvl w:val="12"/>
          <w:numId w:val="0"/>
        </w:numPr>
        <w:spacing w:after="0"/>
        <w:rPr>
          <w:i/>
        </w:rPr>
      </w:pPr>
      <w:r>
        <w:rPr>
          <w:sz w:val="24"/>
          <w:szCs w:val="24"/>
        </w:rPr>
        <w:t>Сахалинской области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В.В. </w:t>
      </w:r>
      <w:proofErr w:type="spellStart"/>
      <w:r>
        <w:rPr>
          <w:bCs/>
          <w:sz w:val="24"/>
          <w:szCs w:val="24"/>
        </w:rPr>
        <w:t>Бельжицкая</w:t>
      </w:r>
      <w:proofErr w:type="spellEnd"/>
    </w:p>
    <w:p w:rsidR="0060244A" w:rsidRDefault="0060244A"/>
    <w:sectPr w:rsidR="006024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AD" w:rsidRDefault="00B967AD" w:rsidP="00DF2194">
      <w:r>
        <w:separator/>
      </w:r>
    </w:p>
  </w:endnote>
  <w:endnote w:type="continuationSeparator" w:id="0">
    <w:p w:rsidR="00B967AD" w:rsidRDefault="00B967AD" w:rsidP="00DF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AD" w:rsidRDefault="00B967AD" w:rsidP="00DF2194">
      <w:r>
        <w:separator/>
      </w:r>
    </w:p>
  </w:footnote>
  <w:footnote w:type="continuationSeparator" w:id="0">
    <w:p w:rsidR="00B967AD" w:rsidRDefault="00B967AD" w:rsidP="00DF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356823"/>
      <w:docPartObj>
        <w:docPartGallery w:val="Page Numbers (Top of Page)"/>
        <w:docPartUnique/>
      </w:docPartObj>
    </w:sdtPr>
    <w:sdtEndPr/>
    <w:sdtContent>
      <w:p w:rsidR="00DF2194" w:rsidRDefault="00DF21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0B">
          <w:rPr>
            <w:noProof/>
          </w:rPr>
          <w:t>1</w:t>
        </w:r>
        <w:r>
          <w:fldChar w:fldCharType="end"/>
        </w:r>
      </w:p>
    </w:sdtContent>
  </w:sdt>
  <w:p w:rsidR="00DF2194" w:rsidRDefault="00DF21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FD"/>
    <w:rsid w:val="00014AF3"/>
    <w:rsid w:val="00041E2B"/>
    <w:rsid w:val="0009675A"/>
    <w:rsid w:val="000B5662"/>
    <w:rsid w:val="000D70E7"/>
    <w:rsid w:val="00116C81"/>
    <w:rsid w:val="001255CB"/>
    <w:rsid w:val="00126FC5"/>
    <w:rsid w:val="00136CD2"/>
    <w:rsid w:val="00160B52"/>
    <w:rsid w:val="001637EC"/>
    <w:rsid w:val="001675C9"/>
    <w:rsid w:val="00180B8C"/>
    <w:rsid w:val="001D30A4"/>
    <w:rsid w:val="00214A3D"/>
    <w:rsid w:val="002234A4"/>
    <w:rsid w:val="00235B94"/>
    <w:rsid w:val="00235D1B"/>
    <w:rsid w:val="002369C3"/>
    <w:rsid w:val="002574D4"/>
    <w:rsid w:val="002607C9"/>
    <w:rsid w:val="002933C4"/>
    <w:rsid w:val="002C74C1"/>
    <w:rsid w:val="00300033"/>
    <w:rsid w:val="003026C4"/>
    <w:rsid w:val="003353C8"/>
    <w:rsid w:val="003402BA"/>
    <w:rsid w:val="00347264"/>
    <w:rsid w:val="0036082B"/>
    <w:rsid w:val="00363B40"/>
    <w:rsid w:val="00386C49"/>
    <w:rsid w:val="0039330B"/>
    <w:rsid w:val="00450852"/>
    <w:rsid w:val="00453A2D"/>
    <w:rsid w:val="00457D32"/>
    <w:rsid w:val="00463232"/>
    <w:rsid w:val="004745FA"/>
    <w:rsid w:val="004A2F0D"/>
    <w:rsid w:val="004C7BB3"/>
    <w:rsid w:val="004D6B39"/>
    <w:rsid w:val="004D6DEA"/>
    <w:rsid w:val="004F225C"/>
    <w:rsid w:val="0050729D"/>
    <w:rsid w:val="0051329B"/>
    <w:rsid w:val="00527257"/>
    <w:rsid w:val="00547FD8"/>
    <w:rsid w:val="00552C59"/>
    <w:rsid w:val="005B35DB"/>
    <w:rsid w:val="005B4E58"/>
    <w:rsid w:val="005B5D46"/>
    <w:rsid w:val="005D2012"/>
    <w:rsid w:val="005E7DE3"/>
    <w:rsid w:val="0060244A"/>
    <w:rsid w:val="00614BEF"/>
    <w:rsid w:val="00667807"/>
    <w:rsid w:val="00674ECB"/>
    <w:rsid w:val="00681DB4"/>
    <w:rsid w:val="00684073"/>
    <w:rsid w:val="0069545D"/>
    <w:rsid w:val="006A1D39"/>
    <w:rsid w:val="006B448A"/>
    <w:rsid w:val="006D6A34"/>
    <w:rsid w:val="00791159"/>
    <w:rsid w:val="007945F1"/>
    <w:rsid w:val="00794BF2"/>
    <w:rsid w:val="0079759F"/>
    <w:rsid w:val="007B3520"/>
    <w:rsid w:val="008075FD"/>
    <w:rsid w:val="008129F6"/>
    <w:rsid w:val="00842863"/>
    <w:rsid w:val="008B725E"/>
    <w:rsid w:val="008F64C7"/>
    <w:rsid w:val="00980D22"/>
    <w:rsid w:val="009A385D"/>
    <w:rsid w:val="009A57C2"/>
    <w:rsid w:val="00A1421A"/>
    <w:rsid w:val="00A16455"/>
    <w:rsid w:val="00A253AF"/>
    <w:rsid w:val="00A273C1"/>
    <w:rsid w:val="00A37C61"/>
    <w:rsid w:val="00A50DF3"/>
    <w:rsid w:val="00AB3C68"/>
    <w:rsid w:val="00AB75A9"/>
    <w:rsid w:val="00AD17BB"/>
    <w:rsid w:val="00AE4C6A"/>
    <w:rsid w:val="00B3624A"/>
    <w:rsid w:val="00B41F15"/>
    <w:rsid w:val="00B64FE1"/>
    <w:rsid w:val="00B904FB"/>
    <w:rsid w:val="00B967AD"/>
    <w:rsid w:val="00BE48CB"/>
    <w:rsid w:val="00BE4AFC"/>
    <w:rsid w:val="00C12B1D"/>
    <w:rsid w:val="00C3384F"/>
    <w:rsid w:val="00C523F4"/>
    <w:rsid w:val="00C97134"/>
    <w:rsid w:val="00CE72B3"/>
    <w:rsid w:val="00D04D36"/>
    <w:rsid w:val="00D10B6E"/>
    <w:rsid w:val="00DF2194"/>
    <w:rsid w:val="00E202FF"/>
    <w:rsid w:val="00E66BAF"/>
    <w:rsid w:val="00E74B7A"/>
    <w:rsid w:val="00E87DAE"/>
    <w:rsid w:val="00E92A50"/>
    <w:rsid w:val="00EB0221"/>
    <w:rsid w:val="00EC247F"/>
    <w:rsid w:val="00EC65F9"/>
    <w:rsid w:val="00ED1FAD"/>
    <w:rsid w:val="00F2105C"/>
    <w:rsid w:val="00F51CBC"/>
    <w:rsid w:val="00FB216A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9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F2194"/>
    <w:pPr>
      <w:spacing w:after="120"/>
      <w:ind w:left="283" w:firstLine="0"/>
      <w:jc w:val="left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21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">
    <w:name w:val="Body Text Indent 3"/>
    <w:basedOn w:val="a"/>
    <w:link w:val="30"/>
    <w:semiHidden/>
    <w:unhideWhenUsed/>
    <w:rsid w:val="00DF219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219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19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DF2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19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19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F2194"/>
    <w:pPr>
      <w:spacing w:after="120"/>
      <w:ind w:left="283" w:firstLine="0"/>
      <w:jc w:val="left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21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">
    <w:name w:val="Body Text Indent 3"/>
    <w:basedOn w:val="a"/>
    <w:link w:val="30"/>
    <w:semiHidden/>
    <w:unhideWhenUsed/>
    <w:rsid w:val="00DF219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219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19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DF2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1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AB5FE7E7FC6AC5AFF025BE56E6CCA3304D42DA93C884EB689DDD4E282CD00A513C70EB3CA0A64jEg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Людмила Енчуновна</dc:creator>
  <cp:lastModifiedBy>Гвак Елена Михайловна</cp:lastModifiedBy>
  <cp:revision>3</cp:revision>
  <dcterms:created xsi:type="dcterms:W3CDTF">2012-11-27T02:58:00Z</dcterms:created>
  <dcterms:modified xsi:type="dcterms:W3CDTF">2012-11-27T03:05:00Z</dcterms:modified>
</cp:coreProperties>
</file>