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AE" w:rsidRPr="000611F6" w:rsidRDefault="000611F6" w:rsidP="000611F6">
      <w:pPr>
        <w:pStyle w:val="a3"/>
      </w:pPr>
      <w:r w:rsidRPr="000611F6">
        <w:t>В соответствии с пунктом 17 плана работы контрольно-счетной палаты Сахалинской области на 2022 год в сентябре-ноябре текущего года про</w:t>
      </w:r>
      <w:r w:rsidR="001E14EA">
        <w:t xml:space="preserve">ведено контрольное мероприятие </w:t>
      </w:r>
      <w:bookmarkStart w:id="0" w:name="_GoBack"/>
      <w:bookmarkEnd w:id="0"/>
      <w:r w:rsidRPr="000611F6">
        <w:t>«Проверка использования бюджетных средств, выделенных на оснащение образовательных организаций в сфере культуры (детских школ искусств и колледжей) музыкальными инструментами, оборудованием и учебными материалами в рамках реализации государственной программы Сахалинской области «Развитие культуры в Сахалинской области» (включая исполнение регионального проекта «Культурная среда»), за 2020, 2021 годы и истекший период 2022 года».</w:t>
      </w:r>
    </w:p>
    <w:p w:rsidR="000611F6" w:rsidRPr="000611F6" w:rsidRDefault="000611F6" w:rsidP="000611F6">
      <w:r w:rsidRPr="000611F6">
        <w:t>Законом Сахалинской области «О культуре» в целях обеспечения условий для развития и совершенствования творческой деятельности населения Сахалинской области, предусмотрено сохранение сети детских художественных, музыкальных школ, школ искусств, как самостоятельного вида образования в системе образования Сахалинской области. Поддержка культурной деятельности отвечает принятой распоряжением Правительства РФ № 326-р Стратегии государственной культурной политики на период до 2030 года и иные стратегическим документам.</w:t>
      </w:r>
    </w:p>
    <w:p w:rsidR="000611F6" w:rsidRDefault="000611F6" w:rsidP="000611F6">
      <w:r>
        <w:t>П</w:t>
      </w:r>
      <w:r w:rsidRPr="000611F6">
        <w:t xml:space="preserve">о состоянию на 01.10.2022 сеть учреждений дополнительного образования детей в сфере культуры и искусства на территории Сахалинской области </w:t>
      </w:r>
      <w:r>
        <w:t xml:space="preserve">сохранена и </w:t>
      </w:r>
      <w:r w:rsidRPr="000611F6">
        <w:t xml:space="preserve">составляла 30 муниципальных образовательных учреждений, в том числе: детские музыкальные школы – 3 ед.; детские художественные школы – 1 ед.; детские школы искусств – 26 ед. (в том числе 5 филиалов школ искусств), из которых 4 ед. находятся в сельской местности. </w:t>
      </w:r>
    </w:p>
    <w:p w:rsidR="000611F6" w:rsidRPr="000611F6" w:rsidRDefault="000611F6" w:rsidP="000611F6">
      <w:r w:rsidRPr="000611F6">
        <w:t xml:space="preserve">Реализация полномочий в части финансового обеспечения дополнительного образования в муниципальных образовательных организациях в Сахалинской области осуществляется посредством реализации </w:t>
      </w:r>
      <w:r>
        <w:t>«</w:t>
      </w:r>
      <w:r w:rsidRPr="000611F6">
        <w:t xml:space="preserve">Развитие культуры в Сахалинской области», ответственным исполнителем которой определено министерство культуры Сахалинской области. Помимо госпрограммы осуществляется реализация регионального проекта «Обеспечение качественно нового уровня развития инфраструктуры культуры (Культурная среда) (Сахалинская область)» (входящего в Национальный проект «Культура»), показатели которого входят в госпрограмму. </w:t>
      </w:r>
    </w:p>
    <w:p w:rsidR="000611F6" w:rsidRPr="000611F6" w:rsidRDefault="000611F6" w:rsidP="000611F6">
      <w:r w:rsidRPr="000611F6">
        <w:t xml:space="preserve">В проверяемом периоде обеспечение образовательных организаций в сфере культуры (детских школ искусств, художественных школ, музыкальных школ) музыкальными инструментами, оборудованием и учебными материалами осуществлялось в рамках исполнения мероприятия «Обеспечение качественно нового уровня развития инфраструктуры культуры в Сахалинской области», в том числе в 2020-2021 годах путем реализации регионального проекта «Культурная среда». Цели и задачи </w:t>
      </w:r>
      <w:r>
        <w:t>г</w:t>
      </w:r>
      <w:r w:rsidRPr="000611F6">
        <w:t>оспрограммы, а также регионального проекта, отвечают требованиям стратегических документов, принятых на федеральном уровне, мероприятия регионального проекта согласуются с показателями федерального проекта.</w:t>
      </w:r>
    </w:p>
    <w:p w:rsidR="000611F6" w:rsidRPr="000611F6" w:rsidRDefault="000611F6" w:rsidP="000611F6">
      <w:r w:rsidRPr="000611F6">
        <w:t>Для достижения показателей национального проекта руководителем федерального проекта и руководителем регионального проекта заключено соглашение от 02</w:t>
      </w:r>
      <w:r>
        <w:t>.02.2019 (сроком до 31.12.2024), о</w:t>
      </w:r>
      <w:r w:rsidRPr="000611F6">
        <w:t>предел</w:t>
      </w:r>
      <w:r>
        <w:t>яющего с</w:t>
      </w:r>
      <w:r w:rsidRPr="000611F6">
        <w:t>оответствующие результаты и показатели</w:t>
      </w:r>
      <w:r>
        <w:t xml:space="preserve">, которые </w:t>
      </w:r>
      <w:r w:rsidRPr="000611F6">
        <w:t xml:space="preserve">фактически выполнены (с участием федеральных средств оснащено в 2019 году и в 2021 году – 8 образовательных учреждений культуры). В 2020 году региональный проект исполнялся только за счет средств областного бюджета (оснащено еще 3 учреждения), в 2022 году оснащение осуществлялось не в рамках регионального проекта. </w:t>
      </w:r>
    </w:p>
    <w:p w:rsidR="000611F6" w:rsidRPr="000611F6" w:rsidRDefault="000611F6" w:rsidP="000611F6">
      <w:r w:rsidRPr="000611F6">
        <w:t>Всего за период 2019-2022 годы с участием межбюджетных трансфертов из областного и федерального бюджетов в муниципальных образованиях оснащено музыкальными инструментами, оборудованием учебными материалами</w:t>
      </w:r>
      <w:r>
        <w:t xml:space="preserve"> </w:t>
      </w:r>
      <w:r w:rsidRPr="000611F6">
        <w:t xml:space="preserve">в 2019 году – 4 образовательных учреждений в сфере культуры, </w:t>
      </w:r>
      <w:r>
        <w:t>в 2020-2022 годы</w:t>
      </w:r>
      <w:r w:rsidRPr="000611F6">
        <w:t xml:space="preserve"> – еще 14 учреждения.</w:t>
      </w:r>
    </w:p>
    <w:p w:rsidR="000611F6" w:rsidRPr="000611F6" w:rsidRDefault="000611F6" w:rsidP="000611F6">
      <w:r w:rsidRPr="000611F6">
        <w:t>В динамике наблюдается рост численности учащихся учреждений культуры, что отвечает целям стратегических документов. Так, в 2020-2021 учебном году численность учащихся образовательных учреждений в сфере искусства составляла 7465 учащихся; в 2021-2022 учебном году – 7472 учащихся; в 2022-2023 учебном году – 7599 учащихся</w:t>
      </w:r>
      <w:r>
        <w:t xml:space="preserve"> (82 % от объема увеличения </w:t>
      </w:r>
      <w:r w:rsidRPr="000611F6">
        <w:t>преимущественно в МО ГО «Город Южно-Сахалинск»).</w:t>
      </w:r>
    </w:p>
    <w:p w:rsidR="000611F6" w:rsidRPr="000611F6" w:rsidRDefault="000611F6" w:rsidP="000611F6">
      <w:r w:rsidRPr="000611F6">
        <w:t xml:space="preserve">На оснащение образовательных учреждений в сфере культуры за период 2020-2022 годы из средств областного бюджета выделено муниципальным образованиям 59243,8 тыс. рублей (в том числе: 2020 год – 16638,5 тыс. рублей; 2021 год – 24180,0 тыс. рублей (из них средства федерального бюджета – 14226,2 тыс. рублей); 2022 год (по состоянию на 01.10.2022) – 18425,3 тыс. рублей. Освоено в 2020-2021 годах – 100 %, на 01.10.2022 – 82,6 %. Условия соглашения </w:t>
      </w:r>
      <w:r w:rsidRPr="000611F6">
        <w:lastRenderedPageBreak/>
        <w:t xml:space="preserve">на предоставление из федерального бюджета межбюджетного трансферта региону, выполнены. В целом, из общего объема указанных средств (59243,8 тыс. рублей) на региональный проект «Культурная среда» приходится 40818,5 тыс. рублей. </w:t>
      </w:r>
    </w:p>
    <w:p w:rsidR="000611F6" w:rsidRPr="000611F6" w:rsidRDefault="000611F6" w:rsidP="000611F6">
      <w:r w:rsidRPr="000611F6">
        <w:t>Средства распределены по 11 муниципальным образованиям на основании заключенных соглашений, которые отвечают требованиям Порядка ПСО № 394.</w:t>
      </w:r>
    </w:p>
    <w:p w:rsidR="000611F6" w:rsidRPr="000611F6" w:rsidRDefault="000611F6" w:rsidP="000611F6">
      <w:r w:rsidRPr="000611F6">
        <w:t xml:space="preserve">В ходе контрольного мероприятия проведены проверки в 5 муниципальных образованиях, получивших средства субсидий из областного бюджета на оснащение образовательных учреждений культуры (МО: ГО «Город Южно-Сахалинск», ГО «Долинский», «Поронайский ГО», «Невельский ГО», в ГО «Александровск-Сахалинский район» – по запросу документов), в 8 образовательных учреждениях в сфере искусства. </w:t>
      </w:r>
    </w:p>
    <w:p w:rsidR="000611F6" w:rsidRPr="000611F6" w:rsidRDefault="000611F6" w:rsidP="000611F6">
      <w:r w:rsidRPr="000611F6">
        <w:t>Итоги проверок показали, что средства направлены в полном объеме по назначению, нецелевого использования нет, все условия соглашений, заключенных с министерством культуры, муниципалитетами выполнены.</w:t>
      </w:r>
      <w:r>
        <w:t xml:space="preserve"> </w:t>
      </w:r>
      <w:r w:rsidRPr="000611F6">
        <w:t xml:space="preserve">Все оборудование и материалы оприходованы в учете учреждений в полном объеме и используются по назначению, недостач не установлено, что подтверждено визуальными осмотрами. </w:t>
      </w:r>
      <w:r>
        <w:t>Так:</w:t>
      </w:r>
    </w:p>
    <w:p w:rsidR="000611F6" w:rsidRDefault="000611F6" w:rsidP="000611F6">
      <w:r>
        <w:t>- МО ГО «Город Южно-Сахалинск» – за счет средств межбюджетного трансферта оснащены: МБУДО «ДХШ», МБУДО «ДШИ № 2 г. Южно-Сахалинска», МБУДО «ДМШ № 4 г. Южно-Сахалинска», МБУДО «ДШИ «Этнос». Приобретены: клавишные инструменты, струнные инструменты, звуковое оборудование (микшерные пульты, микрофоны), световое оборудование, оборудование для оснащения классов хореографии, оборудование для лепки, занятий изобразительным искусством, выставочные конструкции, рольставни для обеспечения безопасности и сохранности имущества;</w:t>
      </w:r>
    </w:p>
    <w:p w:rsidR="000611F6" w:rsidRDefault="000611F6" w:rsidP="000611F6">
      <w:r>
        <w:t>- МО «Невельский городской округ» – МБОУ ДО «Детская школа искусств г. Невельска» приобретены: учебно-методическая литература и нотные издания, смычковые и струнные музыкальные инструменты, оборудование для обеспечения учебного процесса: кресло-коляска механическая, подъемник лестничный (для лиц из числа маломобильных групп), а также автоматизированное рабочее место для учащихся в нарушениями слуха и слабослышащих людей, звуковое оборудование, оборудование для занятий изобразительным искусством и выставочные конструкции;</w:t>
      </w:r>
    </w:p>
    <w:p w:rsidR="000611F6" w:rsidRDefault="000611F6" w:rsidP="000611F6">
      <w:r>
        <w:t>- МО «Поронайский городской округ» МБОУ ДО «Детская школа искусств г. Поронайска» приобретены: клавишные, смычковые духовые инструменты, мебель для учебного процесса, оборудование для художественных и хореографических классов, звуковое и световое оборудование;</w:t>
      </w:r>
    </w:p>
    <w:p w:rsidR="000611F6" w:rsidRDefault="000611F6" w:rsidP="000611F6">
      <w:r>
        <w:t>- в МО ГО «Александровск-Сахалинский район» МБУ ДО «Детская школа искусств» приобретены: клавишные, струнные музыкальные инструменты, звуковое оборудование (микшерный пульт, микрофоны), учебная литература;</w:t>
      </w:r>
    </w:p>
    <w:p w:rsidR="000611F6" w:rsidRDefault="000611F6" w:rsidP="000611F6">
      <w:r>
        <w:t>- в МО ГО «Долинский» МБУ ДО «ДШИ с. Быков»</w:t>
      </w:r>
      <w:r w:rsidR="00AE6FD3">
        <w:t xml:space="preserve"> </w:t>
      </w:r>
      <w:r>
        <w:t xml:space="preserve">приобретены </w:t>
      </w:r>
      <w:r w:rsidR="00AE6FD3">
        <w:t xml:space="preserve">в основном </w:t>
      </w:r>
      <w:r>
        <w:t xml:space="preserve">гитары </w:t>
      </w:r>
      <w:r w:rsidR="00AE6FD3">
        <w:rPr>
          <w:lang w:val="en-US"/>
        </w:rPr>
        <w:t>Yamaha</w:t>
      </w:r>
      <w:r w:rsidR="00AE6FD3" w:rsidRPr="00AE6FD3">
        <w:t xml:space="preserve"> </w:t>
      </w:r>
      <w:r w:rsidR="00AE6FD3">
        <w:t xml:space="preserve">в комплекте со звукоусилительным </w:t>
      </w:r>
      <w:r>
        <w:t>оборудованием.</w:t>
      </w:r>
    </w:p>
    <w:p w:rsidR="000611F6" w:rsidRPr="000611F6" w:rsidRDefault="000611F6" w:rsidP="000611F6">
      <w:r w:rsidRPr="000611F6">
        <w:t xml:space="preserve">Как правило, закупки осуществлялись способом размещения у единственного поставщика по основаниям: ч. ч. 4, 5, 17 п. 1 ст. 93 Федерального закона от 05.04.2013 № 44-ФЗ. В результате, экономия по итогам размещения закупок преимущественно сложилась только в трех из пяти проверенных городских округов (Поронайский ГО, ГО «Александровск-Сахалинский район», «Невельский ГО»). </w:t>
      </w:r>
    </w:p>
    <w:p w:rsidR="000611F6" w:rsidRDefault="000611F6" w:rsidP="000611F6">
      <w:r w:rsidRPr="000611F6">
        <w:t>Заключенные договоры и контракты в основном исполнены поставщиками в полном объеме, однако в 10 случаях сторонами были нарушены нормы ч. ч. 1, 2 ст. 94 Федерального закона № 44-ФЗ в части исполнения сроков поставки, штрафные санкции в основном взысканы.</w:t>
      </w:r>
    </w:p>
    <w:p w:rsidR="000611F6" w:rsidRDefault="00C24F04" w:rsidP="000611F6">
      <w:r>
        <w:t xml:space="preserve">На состоявшемся 14 ноября 2022 года заседании </w:t>
      </w:r>
      <w:r w:rsidR="00AE6FD3">
        <w:t>коллегии принято направить в адрес: министерства культуры и архивного дела Сахалинской области  информационное письмо, администрации МО ГО «Долинский» - представление. Копия отчета о результатах контрольного мероприятия направлена в адрес Губернатора Сахалинской области и Сахалинскую областную Думу.</w:t>
      </w:r>
    </w:p>
    <w:p w:rsidR="000611F6" w:rsidRPr="000611F6" w:rsidRDefault="000611F6" w:rsidP="000611F6"/>
    <w:sectPr w:rsidR="000611F6" w:rsidRPr="000611F6" w:rsidSect="00AE6FD3">
      <w:pgSz w:w="11906" w:h="16838" w:code="9"/>
      <w:pgMar w:top="709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BE"/>
    <w:rsid w:val="000611F6"/>
    <w:rsid w:val="001E14EA"/>
    <w:rsid w:val="001F0175"/>
    <w:rsid w:val="004B68BE"/>
    <w:rsid w:val="00543EE1"/>
    <w:rsid w:val="00615F28"/>
    <w:rsid w:val="00743EA8"/>
    <w:rsid w:val="007617CF"/>
    <w:rsid w:val="007B3D49"/>
    <w:rsid w:val="00856358"/>
    <w:rsid w:val="00915F23"/>
    <w:rsid w:val="009635F0"/>
    <w:rsid w:val="009B4AF4"/>
    <w:rsid w:val="00AE6FD3"/>
    <w:rsid w:val="00B762AE"/>
    <w:rsid w:val="00C167B0"/>
    <w:rsid w:val="00C24F04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7BC0-7D5E-4A4C-AC2E-EDB234E5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0611F6"/>
  </w:style>
  <w:style w:type="character" w:customStyle="1" w:styleId="a4">
    <w:name w:val="Основной текст с отступом Знак"/>
    <w:basedOn w:val="a0"/>
    <w:link w:val="a3"/>
    <w:uiPriority w:val="99"/>
    <w:rsid w:val="000611F6"/>
  </w:style>
  <w:style w:type="paragraph" w:styleId="a5">
    <w:name w:val="Balloon Text"/>
    <w:basedOn w:val="a"/>
    <w:link w:val="a6"/>
    <w:uiPriority w:val="99"/>
    <w:semiHidden/>
    <w:unhideWhenUsed/>
    <w:rsid w:val="00AE6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2022-11-15T01:16:00Z</cp:lastPrinted>
  <dcterms:created xsi:type="dcterms:W3CDTF">2022-11-15T01:17:00Z</dcterms:created>
  <dcterms:modified xsi:type="dcterms:W3CDTF">2022-11-15T22:37:00Z</dcterms:modified>
</cp:coreProperties>
</file>